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Artistic Business Solutions</w:t>
      </w:r>
    </w:p>
    <w:p>
      <w:pPr>
        <w:pStyle w:val="Subtitle"/>
      </w:pPr>
      <w:r>
        <w:t xml:space="preserve">Immersive Technology Integrator. Company Profile</w:t>
      </w:r>
    </w:p>
    <w:p>
      <w:r>
        <w:t xml:space="preserve">Qatar’s prime Immersive Technology Integrator.</w:t>
      </w:r>
    </w:p>
    <w:p>
      <w:r>
        <w:t xml:space="preserve">Our solutions: Virtual Reality, Augmented Reality, 360° Solutions, Interactive Displays, Custom Solutions.</w:t>
      </w:r>
    </w:p>
    <w:p>
      <w:pPr>
        <w:pStyle w:val="Heading1"/>
      </w:pPr>
      <w:r>
        <w:t xml:space="preserve">Contacts</w:t>
      </w:r>
    </w:p>
    <w:p>
      <w:r>
        <w:rPr>
          <w:b/>
          <w:bCs/>
        </w:rPr>
        <w:t xml:space="preserve">Email: </w:t>
      </w:r>
      <w:hyperlink w:history="1" r:id="rIdl6tl2ucgsp_nvwfg2rvmf">
        <w:r>
          <w:rPr>
            <w:rStyle w:val="Hyperlink"/>
          </w:rPr>
          <w:t xml:space="preserve">info@artistic.qa</w:t>
        </w:r>
      </w:hyperlink>
    </w:p>
    <w:p>
      <w:r>
        <w:rPr>
          <w:b/>
          <w:bCs/>
        </w:rPr>
        <w:t xml:space="preserve">Website: </w:t>
      </w:r>
      <w:hyperlink w:history="1" r:id="rIdpius_bigkzx817-cdmmed">
        <w:r>
          <w:rPr>
            <w:rStyle w:val="Hyperlink"/>
          </w:rPr>
          <w:t xml:space="preserve">www.artistic.qa</w:t>
        </w:r>
      </w:hyperlink>
    </w:p>
    <w:p>
      <w:r>
        <w:rPr>
          <w:b/>
          <w:bCs/>
        </w:rPr>
        <w:t xml:space="preserve">Phone: </w:t>
      </w:r>
      <w:r>
        <w:t xml:space="preserve">+974 5200 0831 and +974 5200 0832</w:t>
      </w:r>
    </w:p>
    <w:p>
      <w:r>
        <w:rPr>
          <w:b/>
          <w:bCs/>
        </w:rPr>
        <w:t xml:space="preserve">Address: </w:t>
      </w:r>
      <w:r>
        <w:t xml:space="preserve">Al Farda Plaza, Floor 2, Al Sadd, Doha, Qatar</w:t>
      </w:r>
    </w:p>
    <w:p>
      <w:pPr>
        <w:pStyle w:val="Heading1"/>
      </w:pPr>
      <w:r>
        <w:t xml:space="preserve">Table of Contents</w:t>
      </w:r>
    </w:p>
    <w:sdt>
      <w:sdtPr>
        <w:alias w:val="Table of Contents"/>
      </w:sdtPr>
      <w:sdtContent>
        <w:p>
          <w:r>
            <w:fldChar w:fldCharType="begin" w:dirty="true"/>
            <w:instrText xml:space="preserve">TOC \h \o "1-2"</w:instrText>
            <w:fldChar w:fldCharType="separate"/>
          </w:r>
        </w:p>
        <w:p>
          <w:r>
            <w:fldChar w:fldCharType="end"/>
          </w:r>
        </w:p>
      </w:sdtContent>
    </w:sdt>
    <w:p>
      <w:r>
        <w:br w:type="page"/>
      </w:r>
    </w:p>
    <w:p>
      <w:pPr>
        <w:pStyle w:val="Heading1"/>
      </w:pPr>
      <w:r>
        <w:t xml:space="preserve">A Message From Our Founder</w:t>
      </w:r>
    </w:p>
    <w:p>
      <w:r>
        <w:t xml:space="preserve">Qatar stands at a defining crossroads. As our nation accelerates toward the bold ambitions of Vision 2030, the question is no longer whether technology will reshape education and training — it is whether our institutions are ready to lead that transformation.</w:t>
      </w:r>
    </w:p>
    <w:p>
      <w:r>
        <w:t xml:space="preserve">Artistic Business Solutions was founded with a single conviction: that Qatar's young minds, professionals, and decision-makers deserve learning and training experiences that match the world they will inhabit — not the world of two decades ago. Traditional classrooms and lecture-hall instruction were designed for an era before AI, before immersive environments, before digital twins could replicate an oil refinery or a hospital emergency room.</w:t>
      </w:r>
    </w:p>
    <w:p>
      <w:r>
        <w:t xml:space="preserve">We built ABS to be Qatar's most trusted partner in this transformation — not merely as a technology vendor, but as a strategic integrator that understands the goals of ministries, schools, universities, and enterprises, and delivers results that endure.</w:t>
      </w:r>
    </w:p>
    <w:p>
      <w:r>
        <w:rPr>
          <w:i/>
          <w:iCs/>
        </w:rPr>
        <w:t xml:space="preserve">Every child who explores an ocean floor in a VR headset, every engineer who safely rehearses a high-risk procedure in simulation, every government professional who walks through a digital twin before a facility is built — each represents Qatar investing in its greatest asset: its people.</w:t>
      </w:r>
    </w:p>
    <w:p>
      <w:r>
        <w:rPr>
          <w:b/>
          <w:bCs/>
        </w:rPr>
        <w:t xml:space="preserve">Abdullah Ibrahim Al Subaey</w:t>
      </w:r>
      <w:r>
        <w:t xml:space="preserve">, Founder, Artistic Business Solutions</w:t>
      </w:r>
    </w:p>
    <w:p>
      <w:pPr>
        <w:pStyle w:val="Heading1"/>
      </w:pPr>
      <w:r>
        <w:t xml:space="preserve">About Artistic Business Solutions</w:t>
      </w:r>
    </w:p>
    <w:p>
      <w:r>
        <w:t xml:space="preserve">Artistic Business Solutions (ABS) is Qatar's prime immersive technology integrator — designing, deploying, and operating complete immersive ecosystems across education, government, healthcare, public safety, museums, defense, and corporate enterprise.</w:t>
      </w:r>
    </w:p>
    <w:p>
      <w:r>
        <w:t xml:space="preserve">ABS brings together engineers, creative technologists, learning designers, and consultants united by one purpose: to make Qatar the regional reference for immersive learning, simulation-based training, and intelligent public experiences.</w:t>
      </w:r>
    </w:p>
    <w:p>
      <w:r>
        <w:t xml:space="preserve">ABS does not sell hardware and walk away. ABS delivers complete, sustained transformations — from initial strategy through content development, system integration, and long-term operational support — following a proven four-phase model: Discover, Design, Deploy, Sustain.</w:t>
      </w:r>
    </w:p>
    <w:p>
      <w:pPr>
        <w:pStyle w:val="Heading1"/>
      </w:pPr>
      <w:r>
        <w:t xml:space="preserve">ABS and Qatar National Vision 2030</w:t>
      </w:r>
    </w:p>
    <w:p>
      <w:r>
        <w:rPr>
          <w:b/>
          <w:bCs/>
        </w:rPr>
        <w:t xml:space="preserve">National alignment. </w:t>
      </w:r>
      <w:r>
        <w:t xml:space="preserve">Qatar National Vision 2030 charts a course toward a diversified, knowledge-based economy led by skilled, empowered citizens. Every solution ABS delivers is intentionally designed to accelerate progress across all four pillars of QNV 2030.</w:t>
      </w:r>
    </w:p>
    <w:p>
      <w:pPr>
        <w:pStyle w:val="Heading2"/>
      </w:pPr>
      <w:r>
        <w:t xml:space="preserve">Human Development</w:t>
      </w:r>
    </w:p>
    <w:p>
      <w:r>
        <w:t xml:space="preserve">Qatar National Vision 2030 charts a course toward a diversified, knowledge-based economy led by skilled, empowered citizens. Every solution ABS delivers is intentionally designed to accelerate progress across all four pillars of QNV 2030.</w:t>
      </w:r>
    </w:p>
    <w:p>
      <w:pPr>
        <w:pStyle w:val="Heading2"/>
      </w:pPr>
      <w:r>
        <w:t xml:space="preserve">Social Development</w:t>
      </w:r>
    </w:p>
    <w:p>
      <w:r>
        <w:t xml:space="preserve">ABS Smart Spaces bring communities together through intelligent public experiences — interactive museums, immersive cultural exhibitions, and smart city visualization — strengthening civic identity, national pride, and inclusion.</w:t>
      </w:r>
    </w:p>
    <w:p>
      <w:pPr>
        <w:pStyle w:val="Heading2"/>
      </w:pPr>
      <w:r>
        <w:t xml:space="preserve">Economic Development</w:t>
      </w:r>
    </w:p>
    <w:p>
      <w:r>
        <w:t xml:space="preserve">Simulation-based training that measurably reduces time-to-competency and incident rates helps Qatari enterprises and government bodies operate more efficiently and profitably — directly contributing to GDP diversification beyond hydrocarbons.</w:t>
      </w:r>
    </w:p>
    <w:p>
      <w:pPr>
        <w:pStyle w:val="Heading2"/>
      </w:pPr>
      <w:r>
        <w:t xml:space="preserve">Environmental Development</w:t>
      </w:r>
    </w:p>
    <w:p>
      <w:r>
        <w:t xml:space="preserve">Immersive simulation eliminates physical consumables, reduces training travel, and builds a workforce culture of environmental responsibility — aligned with Qatar's sustainability commitments.</w:t>
      </w:r>
    </w:p>
    <w:p>
      <w:pPr>
        <w:pStyle w:val="Heading1"/>
      </w:pPr>
      <w:r>
        <w:t xml:space="preserve">Our Pillars</w:t>
      </w:r>
    </w:p>
    <w:p>
      <w:r>
        <w:t xml:space="preserve">Everything ABS delivers flows from three core solution pillars — each addressing a distinct and interconnected need across Qatar's public and private sectors.</w:t>
      </w:r>
    </w:p>
    <w:p>
      <w:pPr>
        <w:pStyle w:val="Heading2"/>
      </w:pPr>
      <w:r>
        <w:t xml:space="preserve">Pillar 1: Education and Corporate Training</w:t>
      </w:r>
    </w:p>
    <w:p>
      <w:r>
        <w:rPr>
          <w:b/>
          <w:bCs/>
        </w:rPr>
        <w:t xml:space="preserve">Sectors: </w:t>
      </w:r>
      <w:r>
        <w:t xml:space="preserve">K-12, Higher Education, Workforce, Oil and Gas</w:t>
      </w:r>
    </w:p>
    <w:p>
      <w:r>
        <w:t xml:space="preserve">Immersive XR classrooms, AI-powered learning platforms, and simulation-based workforce development for every level of education.</w:t>
      </w:r>
    </w:p>
    <w:p>
      <w:pPr>
        <w:pStyle w:val="Heading2"/>
      </w:pPr>
      <w:r>
        <w:t xml:space="preserve">Pillar 2: Mission Critical Simulation</w:t>
      </w:r>
    </w:p>
    <w:p>
      <w:r>
        <w:rPr>
          <w:b/>
          <w:bCs/>
        </w:rPr>
        <w:t xml:space="preserve">Sectors: </w:t>
      </w:r>
      <w:r>
        <w:t xml:space="preserve">Defense, Safety, Emergency Response</w:t>
      </w:r>
    </w:p>
    <w:p>
      <w:r>
        <w:t xml:space="preserve">High-fidelity, consequence-free simulation environments prepare teams for mission-critical scenarios before lives depend on it.</w:t>
      </w:r>
    </w:p>
    <w:p>
      <w:pPr>
        <w:pStyle w:val="Heading2"/>
      </w:pPr>
      <w:r>
        <w:t xml:space="preserve">Pillar 3: Smart Spaces and Experiences</w:t>
      </w:r>
    </w:p>
    <w:p>
      <w:r>
        <w:rPr>
          <w:b/>
          <w:bCs/>
        </w:rPr>
        <w:t xml:space="preserve">Sectors: </w:t>
      </w:r>
      <w:r>
        <w:t xml:space="preserve">Museums, Venues, Smart Cities</w:t>
      </w:r>
    </w:p>
    <w:p>
      <w:r>
        <w:t xml:space="preserve">Interactive intelligent environments — holographic exhibits, immersive installations, and LED-integrated public experiences.</w:t>
      </w:r>
    </w:p>
    <w:p>
      <w:pPr>
        <w:pStyle w:val="Heading1"/>
      </w:pPr>
      <w:r>
        <w:t xml:space="preserve">Pillar 1: Education and Corporate Training</w:t>
      </w:r>
    </w:p>
    <w:p>
      <w:r>
        <w:t xml:space="preserve">ABS transforms passive instruction into active experience. From VR-enabled K-12 classrooms and university digital twin labs to AI-powered TVET platforms and corporate onboarding, we build immersive ecosystems that make knowledge stick. Research consistently shows learners retain 75% of actively experienced material, versus 5% from lectures. ABS closes that retention gap — permanently.</w:t>
      </w:r>
    </w:p>
    <w:p>
      <w:pPr>
        <w:pStyle w:val="Heading2"/>
      </w:pPr>
      <w:r>
        <w:t xml:space="preserve">Sectors Served</w:t>
      </w:r>
    </w:p>
    <w:p>
      <w:pPr>
        <w:pStyle w:val="ListParagraph"/>
        <w:numPr>
          <w:ilvl w:val="0"/>
          <w:numId w:val="2"/>
        </w:numPr>
      </w:pPr>
      <w:r>
        <w:t xml:space="preserve">K-12 Schools and Private Schools</w:t>
      </w:r>
    </w:p>
    <w:p>
      <w:pPr>
        <w:pStyle w:val="ListParagraph"/>
        <w:numPr>
          <w:ilvl w:val="0"/>
          <w:numId w:val="2"/>
        </w:numPr>
      </w:pPr>
      <w:r>
        <w:t xml:space="preserve">Universities and Higher Education Institutions</w:t>
      </w:r>
    </w:p>
    <w:p>
      <w:pPr>
        <w:pStyle w:val="ListParagraph"/>
        <w:numPr>
          <w:ilvl w:val="0"/>
          <w:numId w:val="2"/>
        </w:numPr>
      </w:pPr>
      <w:r>
        <w:t xml:space="preserve">Technical and Vocational Education (TVET)</w:t>
      </w:r>
    </w:p>
    <w:p>
      <w:pPr>
        <w:pStyle w:val="ListParagraph"/>
        <w:numPr>
          <w:ilvl w:val="0"/>
          <w:numId w:val="2"/>
        </w:numPr>
      </w:pPr>
      <w:r>
        <w:t xml:space="preserve">Corporate Onboarding and Workforce Development</w:t>
      </w:r>
    </w:p>
    <w:p>
      <w:pPr>
        <w:pStyle w:val="ListParagraph"/>
        <w:numPr>
          <w:ilvl w:val="0"/>
          <w:numId w:val="2"/>
        </w:numPr>
      </w:pPr>
      <w:r>
        <w:t xml:space="preserve">Special Needs and Inclusive Education</w:t>
      </w:r>
    </w:p>
    <w:p>
      <w:pPr>
        <w:pStyle w:val="Heading2"/>
      </w:pPr>
      <w:r>
        <w:t xml:space="preserve">Key Technologies</w:t>
      </w:r>
    </w:p>
    <w:p>
      <w:pPr>
        <w:pStyle w:val="ListParagraph"/>
        <w:numPr>
          <w:ilvl w:val="0"/>
          <w:numId w:val="2"/>
        </w:numPr>
      </w:pPr>
      <w:r>
        <w:t xml:space="preserve">AR, VR and XR Headsets</w:t>
      </w:r>
    </w:p>
    <w:p>
      <w:pPr>
        <w:pStyle w:val="ListParagraph"/>
        <w:numPr>
          <w:ilvl w:val="0"/>
          <w:numId w:val="2"/>
        </w:numPr>
      </w:pPr>
      <w:r>
        <w:t xml:space="preserve">XR Learning Platform</w:t>
      </w:r>
    </w:p>
    <w:p>
      <w:pPr>
        <w:pStyle w:val="ListParagraph"/>
        <w:numPr>
          <w:ilvl w:val="0"/>
          <w:numId w:val="2"/>
        </w:numPr>
      </w:pPr>
      <w:r>
        <w:t xml:space="preserve">Spatial Lecture Halls</w:t>
      </w:r>
    </w:p>
    <w:p>
      <w:pPr>
        <w:pStyle w:val="ListParagraph"/>
        <w:numPr>
          <w:ilvl w:val="0"/>
          <w:numId w:val="2"/>
        </w:numPr>
      </w:pPr>
      <w:r>
        <w:t xml:space="preserve">Robotics and STEM Kits</w:t>
      </w:r>
    </w:p>
    <w:p>
      <w:pPr>
        <w:pStyle w:val="ListParagraph"/>
        <w:numPr>
          <w:ilvl w:val="0"/>
          <w:numId w:val="2"/>
        </w:numPr>
      </w:pPr>
      <w:r>
        <w:t xml:space="preserve">Augmented Reality Cubes</w:t>
      </w:r>
    </w:p>
    <w:p>
      <w:pPr>
        <w:pStyle w:val="ListParagraph"/>
        <w:numPr>
          <w:ilvl w:val="0"/>
          <w:numId w:val="2"/>
        </w:numPr>
      </w:pPr>
      <w:r>
        <w:t xml:space="preserve">Digital Twin Labs and Environments</w:t>
      </w:r>
    </w:p>
    <w:p>
      <w:pPr>
        <w:pStyle w:val="ListParagraph"/>
        <w:numPr>
          <w:ilvl w:val="0"/>
          <w:numId w:val="2"/>
        </w:numPr>
      </w:pPr>
      <w:r>
        <w:t xml:space="preserve">Sensory Immersive Environments</w:t>
      </w:r>
    </w:p>
    <w:p>
      <w:pPr>
        <w:pStyle w:val="Heading2"/>
      </w:pPr>
      <w:r>
        <w:t xml:space="preserve">Merge EDU: Merge 3D</w:t>
      </w:r>
    </w:p>
    <w:p>
      <w:r>
        <w:rPr>
          <w:b/>
          <w:bCs/>
        </w:rPr>
        <w:t xml:space="preserve">Explore, learn and create in 3D. </w:t>
      </w:r>
      <w:r>
        <w:t xml:space="preserve">The immersive learning platform that brings science and STEM learning to life. Turn students from content viewers to creators.</w:t>
      </w:r>
    </w:p>
    <w:p>
      <w:pPr>
        <w:pStyle w:val="Heading3"/>
      </w:pPr>
      <w:r>
        <w:t xml:space="preserve">STEM Focused</w:t>
      </w:r>
    </w:p>
    <w:p>
      <w:pPr>
        <w:pStyle w:val="ListParagraph"/>
        <w:numPr>
          <w:ilvl w:val="0"/>
          <w:numId w:val="2"/>
        </w:numPr>
      </w:pPr>
      <w:r>
        <w:t xml:space="preserve">3D object library</w:t>
      </w:r>
    </w:p>
    <w:p>
      <w:pPr>
        <w:pStyle w:val="ListParagraph"/>
        <w:numPr>
          <w:ilvl w:val="0"/>
          <w:numId w:val="2"/>
        </w:numPr>
      </w:pPr>
      <w:r>
        <w:t xml:space="preserve">100+ interactive simulations</w:t>
      </w:r>
    </w:p>
    <w:p>
      <w:pPr>
        <w:pStyle w:val="ListParagraph"/>
        <w:numPr>
          <w:ilvl w:val="0"/>
          <w:numId w:val="2"/>
        </w:numPr>
      </w:pPr>
      <w:r>
        <w:t xml:space="preserve">Real-time NASA and NOAA satellite data</w:t>
      </w:r>
    </w:p>
    <w:p>
      <w:pPr>
        <w:pStyle w:val="Heading3"/>
      </w:pPr>
      <w:r>
        <w:t xml:space="preserve">Explore in 3D</w:t>
      </w:r>
    </w:p>
    <w:p>
      <w:r>
        <w:t xml:space="preserve">Rotate objects, activate labels, choose your language and see each piece of content in 3D, using just a tablet, phone or laptop.</w:t>
      </w:r>
    </w:p>
    <w:p>
      <w:pPr>
        <w:pStyle w:val="Heading3"/>
      </w:pPr>
      <w:r>
        <w:t xml:space="preserve">Merge Creator: The Suite That Sparks Creativity</w:t>
      </w:r>
    </w:p>
    <w:p>
      <w:pPr>
        <w:pStyle w:val="ListParagraph"/>
        <w:numPr>
          <w:ilvl w:val="0"/>
          <w:numId w:val="2"/>
        </w:numPr>
      </w:pPr>
      <w:r>
        <w:rPr>
          <w:b/>
          <w:bCs/>
        </w:rPr>
        <w:t xml:space="preserve">Object Builder: </w:t>
      </w:r>
      <w:r>
        <w:t xml:space="preserve">create in your preferred format, add background, animation or sound, and upload.</w:t>
      </w:r>
    </w:p>
    <w:p>
      <w:pPr>
        <w:pStyle w:val="ListParagraph"/>
        <w:numPr>
          <w:ilvl w:val="0"/>
          <w:numId w:val="2"/>
        </w:numPr>
      </w:pPr>
      <w:r>
        <w:rPr>
          <w:b/>
          <w:bCs/>
        </w:rPr>
        <w:t xml:space="preserve">AI Generator: </w:t>
      </w:r>
      <w:r>
        <w:t xml:space="preserve">write the prompt, press enter and get your AI-generated 3D model. No coding.</w:t>
      </w:r>
    </w:p>
    <w:p>
      <w:pPr>
        <w:pStyle w:val="ListParagraph"/>
        <w:numPr>
          <w:ilvl w:val="0"/>
          <w:numId w:val="2"/>
        </w:numPr>
      </w:pPr>
      <w:r>
        <w:rPr>
          <w:b/>
          <w:bCs/>
        </w:rPr>
        <w:t xml:space="preserve">3D Scanner: </w:t>
      </w:r>
      <w:r>
        <w:t xml:space="preserve">convert any object into a digital model just by scanning it with your camera.</w:t>
      </w:r>
    </w:p>
    <w:p>
      <w:pPr>
        <w:pStyle w:val="ListParagraph"/>
        <w:numPr>
          <w:ilvl w:val="0"/>
          <w:numId w:val="2"/>
        </w:numPr>
      </w:pPr>
      <w:r>
        <w:rPr>
          <w:b/>
          <w:bCs/>
        </w:rPr>
        <w:t xml:space="preserve">Image to 3D: </w:t>
      </w:r>
      <w:r>
        <w:t xml:space="preserve">draw, take a picture and upload. Your drawing will become an explorable item.</w:t>
      </w:r>
    </w:p>
    <w:p>
      <w:pPr>
        <w:pStyle w:val="Heading3"/>
      </w:pPr>
      <w:r>
        <w:t xml:space="preserve">Scan: Observe, Scan and View</w:t>
      </w:r>
    </w:p>
    <w:p>
      <w:r>
        <w:t xml:space="preserve">Create your own library and share it with your classmates. Make your own virtual exhibition.</w:t>
      </w:r>
    </w:p>
    <w:p>
      <w:pPr>
        <w:pStyle w:val="Heading3"/>
      </w:pPr>
      <w:r>
        <w:t xml:space="preserve">Think, Design, View</w:t>
      </w:r>
    </w:p>
    <w:p>
      <w:r>
        <w:t xml:space="preserve">Bring it to life! No camera, no VR, just 3D glasses. Accessible, simple, safe.</w:t>
      </w:r>
    </w:p>
    <w:p>
      <w:r>
        <w:rPr>
          <w:b/>
          <w:bCs/>
        </w:rPr>
        <w:t xml:space="preserve">One license, infinite possibilities.</w:t>
      </w:r>
    </w:p>
    <w:p>
      <w:pPr>
        <w:pStyle w:val="Heading2"/>
      </w:pPr>
      <w:r>
        <w:t xml:space="preserve">Case Study, Primary Education: Montgomery Public Schools</w:t>
      </w:r>
    </w:p>
    <w:p>
      <w:pPr>
        <w:pStyle w:val="Heading3"/>
      </w:pPr>
      <w:r>
        <w:t xml:space="preserve">Problem</w:t>
      </w:r>
    </w:p>
    <w:p>
      <w:r>
        <w:t xml:space="preserve">Montgomery Public Schools struggled to bring STEM and literacy concepts to life using traditional classroom methods, with students showing limited engagement and difficulty visualizing abstract concepts and historical contexts.</w:t>
      </w:r>
    </w:p>
    <w:p>
      <w:pPr>
        <w:pStyle w:val="Heading3"/>
      </w:pPr>
      <w:r>
        <w:t xml:space="preserve">Solution</w:t>
      </w:r>
    </w:p>
    <w:p>
      <w:r>
        <w:t xml:space="preserve">Our partner ClassVR deployed managed VR headset fleets across 41 of 50 schools (80 carts total) using ESSER funding, enabling students to explore immersive STEM simulations, historical reconstructions, and literacy-connected virtual field trips. The scalable deployment achieved a 38% increase in student engagement during VR-enhanced lessons while providing equitable access to experiential learning across the entire district.</w:t>
      </w:r>
    </w:p>
    <w:p>
      <w:pPr>
        <w:pStyle w:val="Heading3"/>
      </w:pPr>
      <w:r>
        <w:t xml:space="preserve">Impact</w:t>
      </w:r>
    </w:p>
    <w:p>
      <w:pPr>
        <w:pStyle w:val="ListParagraph"/>
        <w:numPr>
          <w:ilvl w:val="0"/>
          <w:numId w:val="2"/>
        </w:numPr>
      </w:pPr>
      <w:r>
        <w:t xml:space="preserve">38% engagement boost</w:t>
      </w:r>
    </w:p>
    <w:p>
      <w:pPr>
        <w:pStyle w:val="ListParagraph"/>
        <w:numPr>
          <w:ilvl w:val="0"/>
          <w:numId w:val="2"/>
        </w:numPr>
      </w:pPr>
      <w:r>
        <w:t xml:space="preserve">50% cost reduction</w:t>
      </w:r>
    </w:p>
    <w:p>
      <w:pPr>
        <w:pStyle w:val="ListParagraph"/>
        <w:numPr>
          <w:ilvl w:val="0"/>
          <w:numId w:val="2"/>
        </w:numPr>
      </w:pPr>
      <w:r>
        <w:t xml:space="preserve">76% conceptual gain</w:t>
      </w:r>
    </w:p>
    <w:p>
      <w:pPr>
        <w:pStyle w:val="ListParagraph"/>
        <w:numPr>
          <w:ilvl w:val="0"/>
          <w:numId w:val="2"/>
        </w:numPr>
      </w:pPr>
      <w:r>
        <w:t xml:space="preserve">42% retention boost</w:t>
      </w:r>
    </w:p>
    <w:p>
      <w:pPr>
        <w:pStyle w:val="Heading2"/>
      </w:pPr>
      <w:r>
        <w:t xml:space="preserve">Case Study, Secondary Education: Atal Tinkering Labs</w:t>
      </w:r>
    </w:p>
    <w:p>
      <w:pPr>
        <w:pStyle w:val="Heading3"/>
      </w:pPr>
      <w:r>
        <w:t xml:space="preserve">Problem</w:t>
      </w:r>
    </w:p>
    <w:p>
      <w:r>
        <w:t xml:space="preserve">Atal Tinkering Labs wanted to provide progressive STEM and coding education despite high costs of robotics equipment, lack of teacher training infrastructure, and absence of scaffolded curricula bridging beginner to advanced programming skills.</w:t>
      </w:r>
    </w:p>
    <w:p>
      <w:pPr>
        <w:pStyle w:val="Heading3"/>
      </w:pPr>
      <w:r>
        <w:t xml:space="preserve">Solution</w:t>
      </w:r>
    </w:p>
    <w:p>
      <w:r>
        <w:t xml:space="preserve">Our partner STEMpedia's Quarky robot and PictoBlox platform provided affordable, progressive coding education from visual block programming through Python and AI/ML integration. The project-based system enables students to build interactive projects — gesture-controlled devices, computer vision applications, IoT systems — with minimal teacher technical expertise required, delivering enterprise-grade programming skills and robotics competency at accessible price points for resource-constrained educational settings.</w:t>
      </w:r>
    </w:p>
    <w:p>
      <w:pPr>
        <w:pStyle w:val="Heading3"/>
      </w:pPr>
      <w:r>
        <w:t xml:space="preserve">Impact</w:t>
      </w:r>
    </w:p>
    <w:p>
      <w:pPr>
        <w:pStyle w:val="ListParagraph"/>
        <w:numPr>
          <w:ilvl w:val="0"/>
          <w:numId w:val="2"/>
        </w:numPr>
      </w:pPr>
      <w:r>
        <w:t xml:space="preserve">47% interest surge</w:t>
      </w:r>
    </w:p>
    <w:p>
      <w:pPr>
        <w:pStyle w:val="ListParagraph"/>
        <w:numPr>
          <w:ilvl w:val="0"/>
          <w:numId w:val="2"/>
        </w:numPr>
      </w:pPr>
      <w:r>
        <w:t xml:space="preserve">50% interaction boost</w:t>
      </w:r>
    </w:p>
    <w:p>
      <w:pPr>
        <w:pStyle w:val="ListParagraph"/>
        <w:numPr>
          <w:ilvl w:val="0"/>
          <w:numId w:val="2"/>
        </w:numPr>
      </w:pPr>
      <w:r>
        <w:t xml:space="preserve">15% increase in IEP progress</w:t>
      </w:r>
    </w:p>
    <w:p>
      <w:pPr>
        <w:pStyle w:val="ListParagraph"/>
        <w:numPr>
          <w:ilvl w:val="0"/>
          <w:numId w:val="2"/>
        </w:numPr>
      </w:pPr>
      <w:r>
        <w:t xml:space="preserve">55% coding acceleration</w:t>
      </w:r>
    </w:p>
    <w:p>
      <w:pPr>
        <w:pStyle w:val="Heading2"/>
      </w:pPr>
      <w:r>
        <w:t xml:space="preserve">Case Study, Higher Education: Waynesburg University</w:t>
      </w:r>
    </w:p>
    <w:p>
      <w:pPr>
        <w:pStyle w:val="Heading3"/>
      </w:pPr>
      <w:r>
        <w:t xml:space="preserve">Problem</w:t>
      </w:r>
    </w:p>
    <w:p>
      <w:r>
        <w:t xml:space="preserve">Waynesburg University faced limitations in transforming student engagement across disciplines due to constrained physical lab facilities, limited field trip access, and inability to provide hands-on experiences for complex scientific and historical concepts.</w:t>
      </w:r>
    </w:p>
    <w:p>
      <w:pPr>
        <w:pStyle w:val="Heading3"/>
      </w:pPr>
      <w:r>
        <w:t xml:space="preserve">Solution</w:t>
      </w:r>
    </w:p>
    <w:p>
      <w:r>
        <w:t xml:space="preserve">Our partner EON Reality deployed a campus-wide EON-XR platform implementation through a phased five-year rollout including faculty training and pilot projects, expanding to full curricular integration. Students across sciences, humanities, and professional programs access immersive labs, virtual field sites, and interactive 3D models, transforming passive learning into active exploration while eliminating physical infrastructure constraints and enabling scalable experiential education.</w:t>
      </w:r>
    </w:p>
    <w:p>
      <w:pPr>
        <w:pStyle w:val="Heading3"/>
      </w:pPr>
      <w:r>
        <w:t xml:space="preserve">Impact</w:t>
      </w:r>
    </w:p>
    <w:p>
      <w:pPr>
        <w:pStyle w:val="ListParagraph"/>
        <w:numPr>
          <w:ilvl w:val="0"/>
          <w:numId w:val="2"/>
        </w:numPr>
      </w:pPr>
      <w:r>
        <w:t xml:space="preserve">40% job readiness</w:t>
      </w:r>
    </w:p>
    <w:p>
      <w:pPr>
        <w:pStyle w:val="ListParagraph"/>
        <w:numPr>
          <w:ilvl w:val="0"/>
          <w:numId w:val="2"/>
        </w:numPr>
      </w:pPr>
      <w:r>
        <w:t xml:space="preserve">35% academic lift</w:t>
      </w:r>
    </w:p>
    <w:p>
      <w:pPr>
        <w:pStyle w:val="ListParagraph"/>
        <w:numPr>
          <w:ilvl w:val="0"/>
          <w:numId w:val="2"/>
        </w:numPr>
      </w:pPr>
      <w:r>
        <w:t xml:space="preserve">100% LMS sync</w:t>
      </w:r>
    </w:p>
    <w:p>
      <w:pPr>
        <w:pStyle w:val="ListParagraph"/>
        <w:numPr>
          <w:ilvl w:val="0"/>
          <w:numId w:val="2"/>
        </w:numPr>
      </w:pPr>
      <w:r>
        <w:t xml:space="preserve">70% maintenance reduction</w:t>
      </w:r>
    </w:p>
    <w:p>
      <w:pPr>
        <w:pStyle w:val="Heading2"/>
      </w:pPr>
      <w:r>
        <w:t xml:space="preserve">Case Study, Special Needs: Lakeside School</w:t>
      </w:r>
    </w:p>
    <w:p>
      <w:pPr>
        <w:pStyle w:val="Heading3"/>
      </w:pPr>
      <w:r>
        <w:t xml:space="preserve">Problem</w:t>
      </w:r>
    </w:p>
    <w:p>
      <w:r>
        <w:t xml:space="preserve">Lakeside School required sensory-rich, physically inclusive technology for children with motor impairments, autism, and sensory processing challenges, but most interactive tools demanded fine motor control or cognitive abilities beyond many students' capabilities.</w:t>
      </w:r>
    </w:p>
    <w:p>
      <w:pPr>
        <w:pStyle w:val="Heading3"/>
      </w:pPr>
      <w:r>
        <w:t xml:space="preserve">Solution</w:t>
      </w:r>
    </w:p>
    <w:p>
      <w:r>
        <w:t xml:space="preserve">Our partner OM Interactive's floor and wall projection systems create touch-free, sensory-responsive interactive environments that respond to any movement — hands, feet, wheelchairs, whole body — eliminating accessibility barriers. The installations deliver calming sensory experiences, cause-and-effect learning, and collaborative play opportunities in SEN schools and therapy rooms, enabling students with profound disabilities to engage meaningfully with technology through simple movement and presence rather than precise physical control.</w:t>
      </w:r>
    </w:p>
    <w:p>
      <w:pPr>
        <w:pStyle w:val="Heading3"/>
      </w:pPr>
      <w:r>
        <w:t xml:space="preserve">Impact</w:t>
      </w:r>
    </w:p>
    <w:p>
      <w:pPr>
        <w:pStyle w:val="ListParagraph"/>
        <w:numPr>
          <w:ilvl w:val="0"/>
          <w:numId w:val="2"/>
        </w:numPr>
      </w:pPr>
      <w:r>
        <w:t xml:space="preserve">30% milestone acceleration</w:t>
      </w:r>
    </w:p>
    <w:p>
      <w:pPr>
        <w:pStyle w:val="ListParagraph"/>
        <w:numPr>
          <w:ilvl w:val="0"/>
          <w:numId w:val="2"/>
        </w:numPr>
      </w:pPr>
      <w:r>
        <w:t xml:space="preserve">52% engagement increase</w:t>
      </w:r>
    </w:p>
    <w:p>
      <w:pPr>
        <w:pStyle w:val="ListParagraph"/>
        <w:numPr>
          <w:ilvl w:val="0"/>
          <w:numId w:val="2"/>
        </w:numPr>
      </w:pPr>
      <w:r>
        <w:t xml:space="preserve">90% usability rating</w:t>
      </w:r>
    </w:p>
    <w:p>
      <w:pPr>
        <w:pStyle w:val="Heading2"/>
      </w:pPr>
      <w:r>
        <w:t xml:space="preserve">Case Study, Special Needs: NYC Autism Charter School</w:t>
      </w:r>
    </w:p>
    <w:p>
      <w:pPr>
        <w:pStyle w:val="Heading3"/>
      </w:pPr>
      <w:r>
        <w:t xml:space="preserve">Problem</w:t>
      </w:r>
    </w:p>
    <w:p>
      <w:r>
        <w:t xml:space="preserve">NYC Autism Charter School needed effective methods to teach social communication skills to autistic children from low-income families, but traditional approaches could not provide controlled, repeatable social scenarios for practicing real-world interactions safely.</w:t>
      </w:r>
    </w:p>
    <w:p>
      <w:pPr>
        <w:pStyle w:val="Heading3"/>
      </w:pPr>
      <w:r>
        <w:t xml:space="preserve">Solution</w:t>
      </w:r>
    </w:p>
    <w:p>
      <w:r>
        <w:t xml:space="preserve">Our partner Floreo VR was deployed through a Disability Opportunity Fund grant, providing students with immersive social scenarios — grocery shopping, classroom interaction, playground dynamics — inside controlled VR environments. Students practice eye contact, conversational turn-taking, and appropriate responses to social cues with unlimited repetition and adjustable difficulty levels, achieving documented improvements in real-world social confidence and communication ability.</w:t>
      </w:r>
    </w:p>
    <w:p>
      <w:pPr>
        <w:pStyle w:val="Heading3"/>
      </w:pPr>
      <w:r>
        <w:t xml:space="preserve">Impact</w:t>
      </w:r>
    </w:p>
    <w:p>
      <w:pPr>
        <w:pStyle w:val="ListParagraph"/>
        <w:numPr>
          <w:ilvl w:val="0"/>
          <w:numId w:val="2"/>
        </w:numPr>
      </w:pPr>
      <w:r>
        <w:t xml:space="preserve">25% satisfaction gain</w:t>
      </w:r>
    </w:p>
    <w:p>
      <w:pPr>
        <w:pStyle w:val="ListParagraph"/>
        <w:numPr>
          <w:ilvl w:val="0"/>
          <w:numId w:val="2"/>
        </w:numPr>
      </w:pPr>
      <w:r>
        <w:t xml:space="preserve">80% safety generalization</w:t>
      </w:r>
    </w:p>
    <w:p>
      <w:pPr>
        <w:pStyle w:val="ListParagraph"/>
        <w:numPr>
          <w:ilvl w:val="0"/>
          <w:numId w:val="2"/>
        </w:numPr>
      </w:pPr>
      <w:r>
        <w:t xml:space="preserve">2 times therapist capacity</w:t>
      </w:r>
    </w:p>
    <w:p>
      <w:pPr>
        <w:pStyle w:val="Heading2"/>
      </w:pPr>
      <w:r>
        <w:t xml:space="preserve">Case Study, Medical Training: McMaster University</w:t>
      </w:r>
    </w:p>
    <w:p>
      <w:pPr>
        <w:pStyle w:val="Heading3"/>
      </w:pPr>
      <w:r>
        <w:t xml:space="preserve">Problem</w:t>
      </w:r>
    </w:p>
    <w:p>
      <w:r>
        <w:t xml:space="preserve">Medical training programs struggle to ensure sufficient real-world exposure to critical clinical cases required for Entrustable Professional Activities (EPAs), due to time constraints, limited case availability, and logistical barriers — resulting in trainees being underprepared for real-life patient scenarios.</w:t>
      </w:r>
    </w:p>
    <w:p>
      <w:pPr>
        <w:pStyle w:val="Heading3"/>
      </w:pPr>
      <w:r>
        <w:t xml:space="preserve">Solution</w:t>
      </w:r>
    </w:p>
    <w:p>
      <w:r>
        <w:t xml:space="preserve">Our partner McMaster University (MERIT program), in partnership with MedVR Education, explored immersive virtual reality (IVR) as a scalable training tool that enables learners to repeatedly practice realistic clinical scenarios anytime, helping them build competencies, gain exposure to diverse cases, and better meet EPA requirements in a controlled, immersive environment.</w:t>
      </w:r>
    </w:p>
    <w:p>
      <w:pPr>
        <w:pStyle w:val="Heading3"/>
      </w:pPr>
      <w:r>
        <w:t xml:space="preserve">Impact</w:t>
      </w:r>
    </w:p>
    <w:p>
      <w:pPr>
        <w:pStyle w:val="ListParagraph"/>
        <w:numPr>
          <w:ilvl w:val="0"/>
          <w:numId w:val="2"/>
        </w:numPr>
      </w:pPr>
      <w:r>
        <w:t xml:space="preserve">35% cost savings</w:t>
      </w:r>
    </w:p>
    <w:p>
      <w:pPr>
        <w:pStyle w:val="ListParagraph"/>
        <w:numPr>
          <w:ilvl w:val="0"/>
          <w:numId w:val="2"/>
        </w:numPr>
      </w:pPr>
      <w:r>
        <w:t xml:space="preserve">67% training reduction</w:t>
      </w:r>
    </w:p>
    <w:p>
      <w:pPr>
        <w:pStyle w:val="ListParagraph"/>
        <w:numPr>
          <w:ilvl w:val="0"/>
          <w:numId w:val="2"/>
        </w:numPr>
      </w:pPr>
      <w:r>
        <w:t xml:space="preserve">40% response acceleration</w:t>
      </w:r>
    </w:p>
    <w:p>
      <w:pPr>
        <w:pStyle w:val="ListParagraph"/>
        <w:numPr>
          <w:ilvl w:val="0"/>
          <w:numId w:val="2"/>
        </w:numPr>
      </w:pPr>
      <w:r>
        <w:t xml:space="preserve">45% throughput increase</w:t>
      </w:r>
    </w:p>
    <w:p>
      <w:pPr>
        <w:pStyle w:val="Heading2"/>
      </w:pPr>
      <w:r>
        <w:t xml:space="preserve">Case Study, Technical Training: TAFE Queensland</w:t>
      </w:r>
    </w:p>
    <w:p>
      <w:pPr>
        <w:pStyle w:val="Heading3"/>
      </w:pPr>
      <w:r>
        <w:t xml:space="preserve">Problem</w:t>
      </w:r>
    </w:p>
    <w:p>
      <w:r>
        <w:t xml:space="preserve">Traditional training at TAFE Queensland was effective but struggled with engagement and practical skill transfer. There was a need for a more interactive, real-world training approach to improve retention and application.</w:t>
      </w:r>
    </w:p>
    <w:p>
      <w:pPr>
        <w:pStyle w:val="Heading3"/>
      </w:pPr>
      <w:r>
        <w:t xml:space="preserve">Solution</w:t>
      </w:r>
    </w:p>
    <w:p>
      <w:r>
        <w:t xml:space="preserve">Our partner Next World's VR training was integrated into high-safety courses like electrical and HVAC. The modules covered 15 key safety topics through immersive, scenario-based learning. With multilingual support and a virtual assistant, the system enhanced accessibility, while the VR LMS gave trainers detailed performance data for targeted improvement.</w:t>
      </w:r>
    </w:p>
    <w:p>
      <w:pPr>
        <w:pStyle w:val="Heading3"/>
      </w:pPr>
      <w:r>
        <w:t xml:space="preserve">Impact</w:t>
      </w:r>
    </w:p>
    <w:p>
      <w:pPr>
        <w:pStyle w:val="ListParagraph"/>
        <w:numPr>
          <w:ilvl w:val="0"/>
          <w:numId w:val="2"/>
        </w:numPr>
      </w:pPr>
      <w:r>
        <w:t xml:space="preserve">48% hazard mastery</w:t>
      </w:r>
    </w:p>
    <w:p>
      <w:pPr>
        <w:pStyle w:val="ListParagraph"/>
        <w:numPr>
          <w:ilvl w:val="0"/>
          <w:numId w:val="2"/>
        </w:numPr>
      </w:pPr>
      <w:r>
        <w:t xml:space="preserve">31% error reduction</w:t>
      </w:r>
    </w:p>
    <w:p>
      <w:pPr>
        <w:pStyle w:val="ListParagraph"/>
        <w:numPr>
          <w:ilvl w:val="0"/>
          <w:numId w:val="2"/>
        </w:numPr>
      </w:pPr>
      <w:r>
        <w:t xml:space="preserve">35% cost efficiency</w:t>
      </w:r>
    </w:p>
    <w:p>
      <w:pPr>
        <w:pStyle w:val="ListParagraph"/>
        <w:numPr>
          <w:ilvl w:val="0"/>
          <w:numId w:val="2"/>
        </w:numPr>
      </w:pPr>
      <w:r>
        <w:t xml:space="preserve">43% injury decline</w:t>
      </w:r>
    </w:p>
    <w:p>
      <w:r>
        <w:br w:type="page"/>
      </w:r>
    </w:p>
    <w:p>
      <w:pPr>
        <w:pStyle w:val="Heading1"/>
      </w:pPr>
      <w:r>
        <w:t xml:space="preserve">Pillar 2: Mission Critical Simulation</w:t>
      </w:r>
    </w:p>
    <w:p>
      <w:r>
        <w:t xml:space="preserve">When the stakes are too high to learn through failure, simulation becomes the only responsible training approach. ABS Mission Critical solutions deploy consequence-free, high-fidelity environments for defense, emergency responders, industrial safety teams, and security forces. Participants navigate real scenarios — fire evacuations, hazmat responses, infrastructure failures, security threats — in environments indistinguishable from reality, building the neural pathways that genuine emergency experience builds.</w:t>
      </w:r>
    </w:p>
    <w:p>
      <w:pPr>
        <w:pStyle w:val="Heading2"/>
      </w:pPr>
      <w:r>
        <w:t xml:space="preserve">Applications</w:t>
      </w:r>
    </w:p>
    <w:p>
      <w:pPr>
        <w:pStyle w:val="ListParagraph"/>
        <w:numPr>
          <w:ilvl w:val="0"/>
          <w:numId w:val="2"/>
        </w:numPr>
      </w:pPr>
      <w:r>
        <w:t xml:space="preserve">Fire and Evacuation Simulation</w:t>
      </w:r>
    </w:p>
    <w:p>
      <w:pPr>
        <w:pStyle w:val="ListParagraph"/>
        <w:numPr>
          <w:ilvl w:val="0"/>
          <w:numId w:val="2"/>
        </w:numPr>
      </w:pPr>
      <w:r>
        <w:t xml:space="preserve">Hazmat and Chemical Incident Response</w:t>
      </w:r>
    </w:p>
    <w:p>
      <w:pPr>
        <w:pStyle w:val="ListParagraph"/>
        <w:numPr>
          <w:ilvl w:val="0"/>
          <w:numId w:val="2"/>
        </w:numPr>
      </w:pPr>
      <w:r>
        <w:t xml:space="preserve">Military and Law Enforcement Tactical Training</w:t>
      </w:r>
    </w:p>
    <w:p>
      <w:pPr>
        <w:pStyle w:val="ListParagraph"/>
        <w:numPr>
          <w:ilvl w:val="0"/>
          <w:numId w:val="2"/>
        </w:numPr>
      </w:pPr>
      <w:r>
        <w:t xml:space="preserve">Industrial Safety (HSEQ) Simulation</w:t>
      </w:r>
    </w:p>
    <w:p>
      <w:pPr>
        <w:pStyle w:val="ListParagraph"/>
        <w:numPr>
          <w:ilvl w:val="0"/>
          <w:numId w:val="2"/>
        </w:numPr>
      </w:pPr>
      <w:r>
        <w:t xml:space="preserve">Disaster Management and Crisis Command</w:t>
      </w:r>
    </w:p>
    <w:p>
      <w:pPr>
        <w:pStyle w:val="Heading2"/>
      </w:pPr>
      <w:r>
        <w:t xml:space="preserve">Proven Results</w:t>
      </w:r>
    </w:p>
    <w:p>
      <w:pPr>
        <w:pStyle w:val="ListParagraph"/>
        <w:numPr>
          <w:ilvl w:val="0"/>
          <w:numId w:val="2"/>
        </w:numPr>
      </w:pPr>
      <w:r>
        <w:t xml:space="preserve">Up to 40% faster emergency training cycles</w:t>
      </w:r>
    </w:p>
    <w:p>
      <w:pPr>
        <w:pStyle w:val="ListParagraph"/>
        <w:numPr>
          <w:ilvl w:val="0"/>
          <w:numId w:val="2"/>
        </w:numPr>
      </w:pPr>
      <w:r>
        <w:t xml:space="preserve">Zero risk to personnel during high-stakes drills</w:t>
      </w:r>
    </w:p>
    <w:p>
      <w:pPr>
        <w:pStyle w:val="ListParagraph"/>
        <w:numPr>
          <w:ilvl w:val="0"/>
          <w:numId w:val="2"/>
        </w:numPr>
      </w:pPr>
      <w:r>
        <w:t xml:space="preserve">Unlimited repeatable scenarios at marginal cost</w:t>
      </w:r>
    </w:p>
    <w:p>
      <w:pPr>
        <w:pStyle w:val="ListParagraph"/>
        <w:numPr>
          <w:ilvl w:val="0"/>
          <w:numId w:val="2"/>
        </w:numPr>
      </w:pPr>
      <w:r>
        <w:t xml:space="preserve">Real-time performance analytics and debrief</w:t>
      </w:r>
    </w:p>
    <w:p>
      <w:pPr>
        <w:pStyle w:val="ListParagraph"/>
        <w:numPr>
          <w:ilvl w:val="0"/>
          <w:numId w:val="2"/>
        </w:numPr>
      </w:pPr>
      <w:r>
        <w:t xml:space="preserve">Eliminates logistics costs of physical drills</w:t>
      </w:r>
    </w:p>
    <w:p>
      <w:pPr>
        <w:pStyle w:val="ListParagraph"/>
        <w:numPr>
          <w:ilvl w:val="0"/>
          <w:numId w:val="2"/>
        </w:numPr>
      </w:pPr>
      <w:r>
        <w:t xml:space="preserve">Scalable from teams of 5 to 5,000</w:t>
      </w:r>
    </w:p>
    <w:p>
      <w:pPr>
        <w:pStyle w:val="Heading2"/>
      </w:pPr>
      <w:r>
        <w:t xml:space="preserve">Case Study, Police: Derbyshire Constabulary</w:t>
      </w:r>
    </w:p>
    <w:p>
      <w:pPr>
        <w:pStyle w:val="Heading3"/>
      </w:pPr>
      <w:r>
        <w:t xml:space="preserve">Problem</w:t>
      </w:r>
    </w:p>
    <w:p>
      <w:r>
        <w:t xml:space="preserve">Derbyshire Constabulary's traditional Taser training relied on costly staged scenarios with live ammunition, requiring dedicated facilities and instructors while creating high consumable costs and limited training frequency.</w:t>
      </w:r>
    </w:p>
    <w:p>
      <w:pPr>
        <w:pStyle w:val="Heading3"/>
      </w:pPr>
      <w:r>
        <w:t xml:space="preserve">Solution</w:t>
      </w:r>
    </w:p>
    <w:p>
      <w:r>
        <w:t xml:space="preserve">Our partner AVRT deployed a bespoke VR Taser simulation platform at Derbyshire Constabulary HQ, enabling officers to train in realistic threat scenarios with full wireless freedom of movement. The system delivered repeatable, scenario-driven training while eliminating cartridge expenditure, achieving a 52% reduction in consumables and accelerating certification timelines.</w:t>
      </w:r>
    </w:p>
    <w:p>
      <w:pPr>
        <w:pStyle w:val="Heading3"/>
      </w:pPr>
      <w:r>
        <w:t xml:space="preserve">Impact</w:t>
      </w:r>
    </w:p>
    <w:p>
      <w:pPr>
        <w:pStyle w:val="ListParagraph"/>
        <w:numPr>
          <w:ilvl w:val="0"/>
          <w:numId w:val="2"/>
        </w:numPr>
      </w:pPr>
      <w:r>
        <w:t xml:space="preserve">52% cost reduction</w:t>
      </w:r>
    </w:p>
    <w:p>
      <w:pPr>
        <w:pStyle w:val="ListParagraph"/>
        <w:numPr>
          <w:ilvl w:val="0"/>
          <w:numId w:val="2"/>
        </w:numPr>
      </w:pPr>
      <w:r>
        <w:t xml:space="preserve">43% decision accuracy</w:t>
      </w:r>
    </w:p>
    <w:p>
      <w:pPr>
        <w:pStyle w:val="ListParagraph"/>
        <w:numPr>
          <w:ilvl w:val="0"/>
          <w:numId w:val="2"/>
        </w:numPr>
      </w:pPr>
      <w:r>
        <w:t xml:space="preserve">3.2 times training throughput</w:t>
      </w:r>
    </w:p>
    <w:p>
      <w:pPr>
        <w:pStyle w:val="ListParagraph"/>
        <w:numPr>
          <w:ilvl w:val="0"/>
          <w:numId w:val="2"/>
        </w:numPr>
      </w:pPr>
      <w:r>
        <w:t xml:space="preserve">89% report confidence</w:t>
      </w:r>
    </w:p>
    <w:p>
      <w:pPr>
        <w:pStyle w:val="Heading2"/>
      </w:pPr>
      <w:r>
        <w:t xml:space="preserve">Case Study, Army: UK Ministry of Defence</w:t>
      </w:r>
    </w:p>
    <w:p>
      <w:pPr>
        <w:pStyle w:val="Heading3"/>
      </w:pPr>
      <w:r>
        <w:t xml:space="preserve">Problem</w:t>
      </w:r>
    </w:p>
    <w:p>
      <w:r>
        <w:t xml:space="preserve">The UK Ministry of Defence faced prohibitive costs and logistical complexity in delivering high-fidelity combat training through live exercises, limiting training frequency and operational readiness while consuming significant ammunition and range resources.</w:t>
      </w:r>
    </w:p>
    <w:p>
      <w:pPr>
        <w:pStyle w:val="Heading3"/>
      </w:pPr>
      <w:r>
        <w:t xml:space="preserve">Solution</w:t>
      </w:r>
    </w:p>
    <w:p>
      <w:r>
        <w:t xml:space="preserve">Our partner AVRT's military VR platform provides deployable simulation environments replicating weapons systems, tactical scenarios, and combat conditions without live ammunition requirements. The portable infrastructure supports multi-user training exercises from training bases to forward operating locations, reducing live-fire costs by up to 90% while maintaining training intensity and combat readiness.</w:t>
      </w:r>
    </w:p>
    <w:p>
      <w:pPr>
        <w:pStyle w:val="Heading3"/>
      </w:pPr>
      <w:r>
        <w:t xml:space="preserve">Impact</w:t>
      </w:r>
    </w:p>
    <w:p>
      <w:pPr>
        <w:pStyle w:val="ListParagraph"/>
        <w:numPr>
          <w:ilvl w:val="0"/>
          <w:numId w:val="2"/>
        </w:numPr>
      </w:pPr>
      <w:r>
        <w:t xml:space="preserve">45% cost reduction</w:t>
      </w:r>
    </w:p>
    <w:p>
      <w:pPr>
        <w:pStyle w:val="ListParagraph"/>
        <w:numPr>
          <w:ilvl w:val="0"/>
          <w:numId w:val="2"/>
        </w:numPr>
      </w:pPr>
      <w:r>
        <w:t xml:space="preserve">34% awareness improvement</w:t>
      </w:r>
    </w:p>
    <w:p>
      <w:pPr>
        <w:pStyle w:val="ListParagraph"/>
        <w:numPr>
          <w:ilvl w:val="0"/>
          <w:numId w:val="2"/>
        </w:numPr>
      </w:pPr>
      <w:r>
        <w:t xml:space="preserve">12 times training boost</w:t>
      </w:r>
    </w:p>
    <w:p>
      <w:pPr>
        <w:pStyle w:val="ListParagraph"/>
        <w:numPr>
          <w:ilvl w:val="0"/>
          <w:numId w:val="2"/>
        </w:numPr>
      </w:pPr>
      <w:r>
        <w:t xml:space="preserve">38% readiness gain</w:t>
      </w:r>
    </w:p>
    <w:p>
      <w:pPr>
        <w:pStyle w:val="Heading2"/>
      </w:pPr>
      <w:r>
        <w:t xml:space="preserve">Case Study, Fire Safety: UK Fire Services and Corporates</w:t>
      </w:r>
    </w:p>
    <w:p>
      <w:pPr>
        <w:pStyle w:val="Heading3"/>
      </w:pPr>
      <w:r>
        <w:t xml:space="preserve">Problem</w:t>
      </w:r>
    </w:p>
    <w:p>
      <w:r>
        <w:t xml:space="preserve">UK fire services and corporates could not deliver realistic firefighting and evacuation training without exposing personnel to actual fire hazards or burning expensive consumables, limiting training quality, frequency, and accessibility.</w:t>
      </w:r>
    </w:p>
    <w:p>
      <w:pPr>
        <w:pStyle w:val="Heading3"/>
      </w:pPr>
      <w:r>
        <w:t xml:space="preserve">Solution</w:t>
      </w:r>
    </w:p>
    <w:p>
      <w:r>
        <w:t xml:space="preserve">Our partner 4Help VR created photorealistic fire simulation environments with dynamic fire behavior, smoke propagation, and thermal layering physics. The platform enables fire service professionals and building wardens to train in realistic rescue scenarios and evacuation procedures with unlimited repeatability, eliminating exposure risk while delivering competency-based assessment and regulatory compliance documentation.</w:t>
      </w:r>
    </w:p>
    <w:p>
      <w:pPr>
        <w:pStyle w:val="Heading3"/>
      </w:pPr>
      <w:r>
        <w:t xml:space="preserve">Impact</w:t>
      </w:r>
    </w:p>
    <w:p>
      <w:pPr>
        <w:pStyle w:val="ListParagraph"/>
        <w:numPr>
          <w:ilvl w:val="0"/>
          <w:numId w:val="2"/>
        </w:numPr>
      </w:pPr>
      <w:r>
        <w:t xml:space="preserve">42% cost optimization</w:t>
      </w:r>
    </w:p>
    <w:p>
      <w:pPr>
        <w:pStyle w:val="ListParagraph"/>
        <w:numPr>
          <w:ilvl w:val="0"/>
          <w:numId w:val="2"/>
        </w:numPr>
      </w:pPr>
      <w:r>
        <w:t xml:space="preserve">37% decision superiority</w:t>
      </w:r>
    </w:p>
    <w:p>
      <w:pPr>
        <w:pStyle w:val="ListParagraph"/>
        <w:numPr>
          <w:ilvl w:val="0"/>
          <w:numId w:val="2"/>
        </w:numPr>
      </w:pPr>
      <w:r>
        <w:t xml:space="preserve">28% risk reduction</w:t>
      </w:r>
    </w:p>
    <w:p>
      <w:pPr>
        <w:pStyle w:val="ListParagraph"/>
        <w:numPr>
          <w:ilvl w:val="0"/>
          <w:numId w:val="2"/>
        </w:numPr>
      </w:pPr>
      <w:r>
        <w:t xml:space="preserve">50% coordination efficiency</w:t>
      </w:r>
    </w:p>
    <w:p>
      <w:pPr>
        <w:pStyle w:val="Heading2"/>
      </w:pPr>
      <w:r>
        <w:t xml:space="preserve">Case Study, Technical Hazards: Wake Tech Community College</w:t>
      </w:r>
    </w:p>
    <w:p>
      <w:pPr>
        <w:pStyle w:val="Heading3"/>
      </w:pPr>
      <w:r>
        <w:t xml:space="preserve">Problem</w:t>
      </w:r>
    </w:p>
    <w:p>
      <w:r>
        <w:t xml:space="preserve">Wake Tech Community College and mission-critical facility operators (data centres, hospitals, and lab environments) cannot deliver realistic failure-response training for technicians without exposing them to dangerous system faults or risking costly infrastructure downtime, limiting training realism, frequency, and accessibility.</w:t>
      </w:r>
    </w:p>
    <w:p>
      <w:pPr>
        <w:pStyle w:val="Heading3"/>
      </w:pPr>
      <w:r>
        <w:t xml:space="preserve">Solution</w:t>
      </w:r>
    </w:p>
    <w:p>
      <w:r>
        <w:t xml:space="preserve">Virtual Heroes, using Unreal® Engine and commissioned by Wake Tech Community College with support from the U.S. Department of Labor, developed Mission Critical Operator — a 3D immersive training simulation that recreates real mission-critical facilities where learners safely experience alarms, outages, and equipment failures while building real-world troubleshooting and decision-making skills under pressure.</w:t>
      </w:r>
    </w:p>
    <w:p>
      <w:pPr>
        <w:pStyle w:val="Heading3"/>
      </w:pPr>
      <w:r>
        <w:t xml:space="preserve">Impact</w:t>
      </w:r>
    </w:p>
    <w:p>
      <w:pPr>
        <w:pStyle w:val="ListParagraph"/>
        <w:numPr>
          <w:ilvl w:val="0"/>
          <w:numId w:val="2"/>
        </w:numPr>
      </w:pPr>
      <w:r>
        <w:t xml:space="preserve">48% hazard mastery</w:t>
      </w:r>
    </w:p>
    <w:p>
      <w:pPr>
        <w:pStyle w:val="ListParagraph"/>
        <w:numPr>
          <w:ilvl w:val="0"/>
          <w:numId w:val="2"/>
        </w:numPr>
      </w:pPr>
      <w:r>
        <w:t xml:space="preserve">31% error reduction</w:t>
      </w:r>
    </w:p>
    <w:p>
      <w:pPr>
        <w:pStyle w:val="ListParagraph"/>
        <w:numPr>
          <w:ilvl w:val="0"/>
          <w:numId w:val="2"/>
        </w:numPr>
      </w:pPr>
      <w:r>
        <w:t xml:space="preserve">35% cost efficiency</w:t>
      </w:r>
    </w:p>
    <w:p>
      <w:pPr>
        <w:pStyle w:val="ListParagraph"/>
        <w:numPr>
          <w:ilvl w:val="0"/>
          <w:numId w:val="2"/>
        </w:numPr>
      </w:pPr>
      <w:r>
        <w:t xml:space="preserve">43% injury decline</w:t>
      </w:r>
    </w:p>
    <w:p>
      <w:pPr>
        <w:pStyle w:val="Heading2"/>
      </w:pPr>
      <w:r>
        <w:t xml:space="preserve">Case Study, Medical Emergencies: U.S. Army Medics</w:t>
      </w:r>
    </w:p>
    <w:p>
      <w:pPr>
        <w:pStyle w:val="Heading3"/>
      </w:pPr>
      <w:r>
        <w:t xml:space="preserve">Problem</w:t>
      </w:r>
    </w:p>
    <w:p>
      <w:r>
        <w:t xml:space="preserve">U.S. Army medics required intensive training in battlefield trauma care — particularly for hemorrhage control, penetrating trauma, and airway management — but traditional methods could not replicate the stress, time pressure, and decision complexity of combat casualty scenarios.</w:t>
      </w:r>
    </w:p>
    <w:p>
      <w:pPr>
        <w:pStyle w:val="Heading3"/>
      </w:pPr>
      <w:r>
        <w:t xml:space="preserve">Solution</w:t>
      </w:r>
    </w:p>
    <w:p>
      <w:r>
        <w:t xml:space="preserve">Virtual Heroes developed BurnCARE (Burn Computer Application for Research and Education) — a mobile, offline-capable, highly realistic and physiologically accurate training tool that allows military medical personnel to repeatedly practice burn assessment and treatment anywhere in the world, building confidence and procedural mastery through scalable, on-demand simulation.</w:t>
      </w:r>
    </w:p>
    <w:p>
      <w:pPr>
        <w:pStyle w:val="Heading3"/>
      </w:pPr>
      <w:r>
        <w:t xml:space="preserve">Impact</w:t>
      </w:r>
    </w:p>
    <w:p>
      <w:pPr>
        <w:pStyle w:val="ListParagraph"/>
        <w:numPr>
          <w:ilvl w:val="0"/>
          <w:numId w:val="2"/>
        </w:numPr>
      </w:pPr>
      <w:r>
        <w:t xml:space="preserve">35% procedural mastery</w:t>
      </w:r>
    </w:p>
    <w:p>
      <w:pPr>
        <w:pStyle w:val="ListParagraph"/>
        <w:numPr>
          <w:ilvl w:val="0"/>
          <w:numId w:val="2"/>
        </w:numPr>
      </w:pPr>
      <w:r>
        <w:t xml:space="preserve">40% skill acceleration</w:t>
      </w:r>
    </w:p>
    <w:p>
      <w:pPr>
        <w:pStyle w:val="ListParagraph"/>
        <w:numPr>
          <w:ilvl w:val="0"/>
          <w:numId w:val="2"/>
        </w:numPr>
      </w:pPr>
      <w:r>
        <w:t xml:space="preserve">60% knowledge retention</w:t>
      </w:r>
    </w:p>
    <w:p>
      <w:pPr>
        <w:pStyle w:val="ListParagraph"/>
        <w:numPr>
          <w:ilvl w:val="0"/>
          <w:numId w:val="2"/>
        </w:numPr>
      </w:pPr>
      <w:r>
        <w:t xml:space="preserve">45% competency acceleration</w:t>
      </w:r>
    </w:p>
    <w:p>
      <w:r>
        <w:br w:type="page"/>
      </w:r>
    </w:p>
    <w:p>
      <w:pPr>
        <w:pStyle w:val="Heading1"/>
      </w:pPr>
      <w:r>
        <w:t xml:space="preserve">Pillar 3: Smart Spaces and Experiences</w:t>
      </w:r>
    </w:p>
    <w:p>
      <w:r>
        <w:t xml:space="preserve">ABS transforms physical spaces into intelligent, responsive environments. Interactive floor projections, holographic exhibits, smart city data walls, LED-integrated sport experiences — we turn any space into a destination.</w:t>
      </w:r>
    </w:p>
    <w:p>
      <w:r>
        <w:t xml:space="preserve">These environments do not just impress — they communicate, educate, and inspire. They represent Qatar's values and ambitions to every visitor, citizen, and delegate who passes through.</w:t>
      </w:r>
    </w:p>
    <w:p>
      <w:pPr>
        <w:pStyle w:val="Heading2"/>
      </w:pPr>
      <w:r>
        <w:t xml:space="preserve">Where We Deploy</w:t>
      </w:r>
    </w:p>
    <w:p>
      <w:pPr>
        <w:pStyle w:val="ListParagraph"/>
        <w:numPr>
          <w:ilvl w:val="0"/>
          <w:numId w:val="2"/>
        </w:numPr>
      </w:pPr>
      <w:r>
        <w:t xml:space="preserve">Museums and Cultural Heritage Centers</w:t>
      </w:r>
    </w:p>
    <w:p>
      <w:pPr>
        <w:pStyle w:val="ListParagraph"/>
        <w:numPr>
          <w:ilvl w:val="0"/>
          <w:numId w:val="2"/>
        </w:numPr>
      </w:pPr>
      <w:r>
        <w:t xml:space="preserve">Sports Stadiums and Fan Experience Zones</w:t>
      </w:r>
    </w:p>
    <w:p>
      <w:pPr>
        <w:pStyle w:val="ListParagraph"/>
        <w:numPr>
          <w:ilvl w:val="0"/>
          <w:numId w:val="2"/>
        </w:numPr>
      </w:pPr>
      <w:r>
        <w:t xml:space="preserve">Government Command and Experience Centers</w:t>
      </w:r>
    </w:p>
    <w:p>
      <w:pPr>
        <w:pStyle w:val="ListParagraph"/>
        <w:numPr>
          <w:ilvl w:val="0"/>
          <w:numId w:val="2"/>
        </w:numPr>
      </w:pPr>
      <w:r>
        <w:t xml:space="preserve">Airports, Hotels and Tourism Venues</w:t>
      </w:r>
    </w:p>
    <w:p>
      <w:pPr>
        <w:pStyle w:val="ListParagraph"/>
        <w:numPr>
          <w:ilvl w:val="0"/>
          <w:numId w:val="2"/>
        </w:numPr>
      </w:pPr>
      <w:r>
        <w:t xml:space="preserve">Shopping Malls and Retail Experiences</w:t>
      </w:r>
    </w:p>
    <w:p>
      <w:pPr>
        <w:pStyle w:val="Heading2"/>
      </w:pPr>
      <w:r>
        <w:t xml:space="preserve">Technologies Used</w:t>
      </w:r>
    </w:p>
    <w:p>
      <w:pPr>
        <w:pStyle w:val="ListParagraph"/>
        <w:numPr>
          <w:ilvl w:val="0"/>
          <w:numId w:val="2"/>
        </w:numPr>
      </w:pPr>
      <w:r>
        <w:t xml:space="preserve">Holographic Display Systems</w:t>
      </w:r>
    </w:p>
    <w:p>
      <w:pPr>
        <w:pStyle w:val="ListParagraph"/>
        <w:numPr>
          <w:ilvl w:val="0"/>
          <w:numId w:val="2"/>
        </w:numPr>
      </w:pPr>
      <w:r>
        <w:t xml:space="preserve">Interactive Floor and Wall Projections</w:t>
      </w:r>
    </w:p>
    <w:p>
      <w:pPr>
        <w:pStyle w:val="ListParagraph"/>
        <w:numPr>
          <w:ilvl w:val="0"/>
          <w:numId w:val="2"/>
        </w:numPr>
      </w:pPr>
      <w:r>
        <w:t xml:space="preserve">LED Ecosystem Integration</w:t>
      </w:r>
    </w:p>
    <w:p>
      <w:pPr>
        <w:pStyle w:val="ListParagraph"/>
        <w:numPr>
          <w:ilvl w:val="0"/>
          <w:numId w:val="2"/>
        </w:numPr>
      </w:pPr>
      <w:r>
        <w:t xml:space="preserve">Digital Twin Visualization</w:t>
      </w:r>
    </w:p>
    <w:p>
      <w:pPr>
        <w:pStyle w:val="ListParagraph"/>
        <w:numPr>
          <w:ilvl w:val="0"/>
          <w:numId w:val="2"/>
        </w:numPr>
      </w:pPr>
      <w:r>
        <w:t xml:space="preserve">Spatial Audio and Multi-Sensory</w:t>
      </w:r>
    </w:p>
    <w:p>
      <w:pPr>
        <w:pStyle w:val="ListParagraph"/>
        <w:numPr>
          <w:ilvl w:val="0"/>
          <w:numId w:val="2"/>
        </w:numPr>
      </w:pPr>
      <w:r>
        <w:t xml:space="preserve">AI-Driven Visitor Analytics</w:t>
      </w:r>
    </w:p>
    <w:p>
      <w:pPr>
        <w:pStyle w:val="Heading2"/>
      </w:pPr>
      <w:r>
        <w:t xml:space="preserve">Case Study, Formula 1 Pre-Event Activation: Lusail International Circuit</w:t>
      </w:r>
    </w:p>
    <w:p>
      <w:pPr>
        <w:pStyle w:val="Heading3"/>
      </w:pPr>
      <w:r>
        <w:t xml:space="preserve">Problem</w:t>
      </w:r>
    </w:p>
    <w:p>
      <w:r>
        <w:t xml:space="preserve">Lusail International Circuit wanted to elevate pre-Grand Prix engagement in Doha by moving beyond traditional static event marketing (posters, screens, and passive displays) and instead create a highly immersive, interactive fan experience that builds anticipation, increases dwell time, and connects audiences emotionally to the Formula 1 Qatar GP before race weekend.</w:t>
      </w:r>
    </w:p>
    <w:p>
      <w:pPr>
        <w:pStyle w:val="Heading3"/>
      </w:pPr>
      <w:r>
        <w:t xml:space="preserve">Solution</w:t>
      </w:r>
    </w:p>
    <w:p>
      <w:r>
        <w:t xml:space="preserve">Artistic Business Solutions delivered an immersive GP Village activation at Place Vendôme Mall, transforming pre-event engagement into a gamified, interactive fan journey through VR simulators and custom VR track experiences replicating real Formula 1 driving immersion. The activation also featured AI-powered hologram information stations acting as interactive event guides, alongside gamified fan zones including helmet design, puzzles, and photo activations. This 28-day pre-event activation built sustained hype and anticipation leading up to the race weekend.</w:t>
      </w:r>
    </w:p>
    <w:p>
      <w:pPr>
        <w:pStyle w:val="Heading3"/>
      </w:pPr>
      <w:r>
        <w:t xml:space="preserve">Impact</w:t>
      </w:r>
    </w:p>
    <w:p>
      <w:pPr>
        <w:pStyle w:val="ListParagraph"/>
        <w:numPr>
          <w:ilvl w:val="0"/>
          <w:numId w:val="2"/>
        </w:numPr>
      </w:pPr>
      <w:r>
        <w:t xml:space="preserve">30% staffing reduction</w:t>
      </w:r>
    </w:p>
    <w:p>
      <w:pPr>
        <w:pStyle w:val="ListParagraph"/>
        <w:numPr>
          <w:ilvl w:val="0"/>
          <w:numId w:val="2"/>
        </w:numPr>
      </w:pPr>
      <w:r>
        <w:t xml:space="preserve">80% engagement rate</w:t>
      </w:r>
    </w:p>
    <w:p>
      <w:pPr>
        <w:pStyle w:val="ListParagraph"/>
        <w:numPr>
          <w:ilvl w:val="0"/>
          <w:numId w:val="2"/>
        </w:numPr>
      </w:pPr>
      <w:r>
        <w:t xml:space="preserve">60% social amplification</w:t>
      </w:r>
    </w:p>
    <w:p>
      <w:pPr>
        <w:pStyle w:val="ListParagraph"/>
        <w:numPr>
          <w:ilvl w:val="0"/>
          <w:numId w:val="2"/>
        </w:numPr>
      </w:pPr>
      <w:r>
        <w:t xml:space="preserve">3 times dwell time boost</w:t>
      </w:r>
    </w:p>
    <w:p>
      <w:pPr>
        <w:pStyle w:val="Heading2"/>
      </w:pPr>
      <w:r>
        <w:t xml:space="preserve">Case Study, F1 Immersive Dome: Lusail International Circuit</w:t>
      </w:r>
    </w:p>
    <w:p>
      <w:pPr>
        <w:pStyle w:val="Heading3"/>
      </w:pPr>
      <w:r>
        <w:t xml:space="preserve">Problem</w:t>
      </w:r>
    </w:p>
    <w:p>
      <w:r>
        <w:t xml:space="preserve">Lusail International Circuit needed to generate city-wide excitement ahead of the Formula 1 Grand Prix by engaging audiences beyond the track and driving footfall in a highly competitive entertainment and cultural environment. Traditional fan zone screens lacked immersion, resulting in passive viewing, limited interaction, low retention, and insufficient impact to reflect the innovation and energy of F1.</w:t>
      </w:r>
    </w:p>
    <w:p>
      <w:pPr>
        <w:pStyle w:val="Heading3"/>
      </w:pPr>
      <w:r>
        <w:t xml:space="preserve">Solution</w:t>
      </w:r>
    </w:p>
    <w:p>
      <w:r>
        <w:t xml:space="preserve">Artistic Business Solutions designed and delivered a fully immersive LED dome activation at Souq Waqif, transforming the space into a high-energy Formula 1 experience zone. The solution included full end-to-end execution — concept development, fit-out, LED dome installation, and content integration — with a curved LED mesh dome. Real-time and pre-rendered F1 content was mapped for immersive storytelling, establishing a central attraction hub that drew and held large crowds while enabling a shared social viewing experience beyond traditional screens.</w:t>
      </w:r>
    </w:p>
    <w:p>
      <w:pPr>
        <w:pStyle w:val="Heading3"/>
      </w:pPr>
      <w:r>
        <w:t xml:space="preserve">Impact</w:t>
      </w:r>
    </w:p>
    <w:p>
      <w:pPr>
        <w:pStyle w:val="ListParagraph"/>
        <w:numPr>
          <w:ilvl w:val="0"/>
          <w:numId w:val="2"/>
        </w:numPr>
      </w:pPr>
      <w:r>
        <w:t xml:space="preserve">3 times crowd engagement</w:t>
      </w:r>
    </w:p>
    <w:p>
      <w:pPr>
        <w:pStyle w:val="ListParagraph"/>
        <w:numPr>
          <w:ilvl w:val="0"/>
          <w:numId w:val="2"/>
        </w:numPr>
      </w:pPr>
      <w:r>
        <w:t xml:space="preserve">90% attention retention</w:t>
      </w:r>
    </w:p>
    <w:p>
      <w:pPr>
        <w:pStyle w:val="ListParagraph"/>
        <w:numPr>
          <w:ilvl w:val="0"/>
          <w:numId w:val="2"/>
        </w:numPr>
      </w:pPr>
      <w:r>
        <w:t xml:space="preserve">60% increase in social surge</w:t>
      </w:r>
    </w:p>
    <w:p>
      <w:pPr>
        <w:pStyle w:val="ListParagraph"/>
        <w:numPr>
          <w:ilvl w:val="0"/>
          <w:numId w:val="2"/>
        </w:numPr>
      </w:pPr>
      <w:r>
        <w:t xml:space="preserve">100+ daily footfall</w:t>
      </w:r>
    </w:p>
    <w:p>
      <w:pPr>
        <w:pStyle w:val="Heading2"/>
      </w:pPr>
      <w:r>
        <w:t xml:space="preserve">Case Study, F1 Giant Helmets: Lusail International Circuit</w:t>
      </w:r>
    </w:p>
    <w:p>
      <w:pPr>
        <w:pStyle w:val="Heading3"/>
      </w:pPr>
      <w:r>
        <w:t xml:space="preserve">Problem</w:t>
      </w:r>
    </w:p>
    <w:p>
      <w:r>
        <w:t xml:space="preserve">Lusail International Circuit in Qatar needed to build stronger public awareness and excitement ahead of the 2025 race. Traditional promotional campaigns lacked physical engagement and failed to create memorable, shareable experiences, while opportunities to connect F1 with Qatari culture and activate city-wide public spaces remained underutilized.</w:t>
      </w:r>
    </w:p>
    <w:p>
      <w:pPr>
        <w:pStyle w:val="Heading3"/>
      </w:pPr>
      <w:r>
        <w:t xml:space="preserve">Solution</w:t>
      </w:r>
    </w:p>
    <w:p>
      <w:r>
        <w:t xml:space="preserve">Artistic Business Solutions delivered a city-wide public activation featuring 10 giant helmet sculptures, installed across key locations in Doha. Each helmet blended Formula 1 identity with Qatari culture, heritage, and contemporary art, designed by local artists. The installation created an interactive art trail, encouraging the public to explore multiple locations, engage with cultural storytelling, capture photo moments, and share their experience across social media — driving both community interaction and city-wide visibility.</w:t>
      </w:r>
    </w:p>
    <w:p>
      <w:pPr>
        <w:pStyle w:val="Heading3"/>
      </w:pPr>
      <w:r>
        <w:t xml:space="preserve">Impact</w:t>
      </w:r>
    </w:p>
    <w:p>
      <w:pPr>
        <w:pStyle w:val="ListParagraph"/>
        <w:numPr>
          <w:ilvl w:val="0"/>
          <w:numId w:val="2"/>
        </w:numPr>
      </w:pPr>
      <w:r>
        <w:t xml:space="preserve">50% footfall growth</w:t>
      </w:r>
    </w:p>
    <w:p>
      <w:pPr>
        <w:pStyle w:val="ListParagraph"/>
        <w:numPr>
          <w:ilvl w:val="0"/>
          <w:numId w:val="2"/>
        </w:numPr>
      </w:pPr>
      <w:r>
        <w:t xml:space="preserve">90% engagement surge</w:t>
      </w:r>
    </w:p>
    <w:p>
      <w:pPr>
        <w:pStyle w:val="ListParagraph"/>
        <w:numPr>
          <w:ilvl w:val="0"/>
          <w:numId w:val="2"/>
        </w:numPr>
      </w:pPr>
      <w:r>
        <w:t xml:space="preserve">60% cultural connection</w:t>
      </w:r>
    </w:p>
    <w:p>
      <w:pPr>
        <w:pStyle w:val="Heading2"/>
      </w:pPr>
      <w:r>
        <w:t xml:space="preserve">Case Study, Formula 1 Educational Activations: Lusail International Circuit</w:t>
      </w:r>
    </w:p>
    <w:p>
      <w:pPr>
        <w:pStyle w:val="Heading3"/>
      </w:pPr>
      <w:r>
        <w:t xml:space="preserve">Problem</w:t>
      </w:r>
    </w:p>
    <w:p>
      <w:r>
        <w:t xml:space="preserve">Lusail International Circuit aimed to raise awareness and understanding of Formula 1 among youth across educational institutions but lacked immersive, hands-on experiences that could effectively engage students beyond traditional methods.</w:t>
      </w:r>
    </w:p>
    <w:p>
      <w:pPr>
        <w:pStyle w:val="Heading3"/>
      </w:pPr>
      <w:r>
        <w:t xml:space="preserve">Solution</w:t>
      </w:r>
    </w:p>
    <w:p>
      <w:r>
        <w:t xml:space="preserve">Artistic Business Solutions delivered immersive activations across 10 educational institutions, deploying VR headsets with a custom-built Lusail track experience and interactive pit stop challenges, a reaction wall, and engaging F1 educational content — creating a hands-on, high-impact learning experience that connected students with the sport, technology, and excitement of Formula 1.</w:t>
      </w:r>
    </w:p>
    <w:p>
      <w:pPr>
        <w:pStyle w:val="Heading3"/>
      </w:pPr>
      <w:r>
        <w:t xml:space="preserve">Impact</w:t>
      </w:r>
    </w:p>
    <w:p>
      <w:pPr>
        <w:pStyle w:val="ListParagraph"/>
        <w:numPr>
          <w:ilvl w:val="0"/>
          <w:numId w:val="2"/>
        </w:numPr>
      </w:pPr>
      <w:r>
        <w:t xml:space="preserve">3 times engagement boost</w:t>
      </w:r>
    </w:p>
    <w:p>
      <w:pPr>
        <w:pStyle w:val="ListParagraph"/>
        <w:numPr>
          <w:ilvl w:val="0"/>
          <w:numId w:val="2"/>
        </w:numPr>
      </w:pPr>
      <w:r>
        <w:t xml:space="preserve">90% participation rate</w:t>
      </w:r>
    </w:p>
    <w:p>
      <w:pPr>
        <w:pStyle w:val="ListParagraph"/>
        <w:numPr>
          <w:ilvl w:val="0"/>
          <w:numId w:val="2"/>
        </w:numPr>
      </w:pPr>
      <w:r>
        <w:t xml:space="preserve">70% increase in interest</w:t>
      </w:r>
    </w:p>
    <w:p>
      <w:pPr>
        <w:pStyle w:val="Heading2"/>
      </w:pPr>
      <w:r>
        <w:t xml:space="preserve">Case Study, Holographic Zoo: The Australian Museum</w:t>
      </w:r>
    </w:p>
    <w:p>
      <w:pPr>
        <w:pStyle w:val="Heading3"/>
      </w:pPr>
      <w:r>
        <w:t xml:space="preserve">Problem</w:t>
      </w:r>
    </w:p>
    <w:p>
      <w:r>
        <w:t xml:space="preserve">The Australian Museum needed to attract younger, digitally native audiences who expected technology-enhanced experiences beyond traditional static exhibitions, creating pressure to innovate while maintaining educational rigor and institutional authority.</w:t>
      </w:r>
    </w:p>
    <w:p>
      <w:pPr>
        <w:pStyle w:val="Heading3"/>
      </w:pPr>
      <w:r>
        <w:t xml:space="preserve">Solution</w:t>
      </w:r>
    </w:p>
    <w:p>
      <w:r>
        <w:t xml:space="preserve">Our partner Axiom Holographics installed holographic tunnel technology enabling visitors to walk through immersive prehistoric and wildlife environments with life-size 3D projections of extinct species and ancient ecosystems. The September to October 2023 installation transformed passive viewing into active exploration, significantly increasing youth engagement and visit duration while positioning the museum as a technology-forward cultural institution without compromising scientific content integrity.</w:t>
      </w:r>
    </w:p>
    <w:p>
      <w:pPr>
        <w:pStyle w:val="Heading3"/>
      </w:pPr>
      <w:r>
        <w:t xml:space="preserve">Impact</w:t>
      </w:r>
    </w:p>
    <w:p>
      <w:pPr>
        <w:pStyle w:val="ListParagraph"/>
        <w:numPr>
          <w:ilvl w:val="0"/>
          <w:numId w:val="2"/>
        </w:numPr>
      </w:pPr>
      <w:r>
        <w:t xml:space="preserve">Increased visitor engagement</w:t>
      </w:r>
    </w:p>
    <w:p>
      <w:pPr>
        <w:pStyle w:val="ListParagraph"/>
        <w:numPr>
          <w:ilvl w:val="0"/>
          <w:numId w:val="2"/>
        </w:numPr>
      </w:pPr>
      <w:r>
        <w:t xml:space="preserve">Shift from passive viewing to active exploration</w:t>
      </w:r>
    </w:p>
    <w:p>
      <w:pPr>
        <w:pStyle w:val="ListParagraph"/>
        <w:numPr>
          <w:ilvl w:val="0"/>
          <w:numId w:val="2"/>
        </w:numPr>
      </w:pPr>
      <w:r>
        <w:t xml:space="preserve">Enhanced institutional positioning</w:t>
      </w:r>
    </w:p>
    <w:p>
      <w:pPr>
        <w:pStyle w:val="ListParagraph"/>
        <w:numPr>
          <w:ilvl w:val="0"/>
          <w:numId w:val="2"/>
        </w:numPr>
      </w:pPr>
      <w:r>
        <w:t xml:space="preserve">Accessibility and shared experience</w:t>
      </w:r>
    </w:p>
    <w:p>
      <w:pPr>
        <w:pStyle w:val="ListParagraph"/>
        <w:numPr>
          <w:ilvl w:val="0"/>
          <w:numId w:val="2"/>
        </w:numPr>
      </w:pPr>
      <w:r>
        <w:t xml:space="preserve">Longer dwell time</w:t>
      </w:r>
    </w:p>
    <w:p>
      <w:pPr>
        <w:pStyle w:val="Heading2"/>
      </w:pPr>
      <w:r>
        <w:t xml:space="preserve">Case Study, AI-Powered Communication Glasses: UK Ministry of Defence</w:t>
      </w:r>
    </w:p>
    <w:p>
      <w:pPr>
        <w:pStyle w:val="Heading3"/>
      </w:pPr>
      <w:r>
        <w:t xml:space="preserve">Problem</w:t>
      </w:r>
    </w:p>
    <w:p>
      <w:r>
        <w:t xml:space="preserve">The UK Ministry of Defence needed a more effective way to support communication across diverse personnel, international stakeholders, and accessibility-focused operations. Traditional captioning and interpretation methods often caused delays and increased logistical complexity during meetings, briefings, and training sessions.</w:t>
      </w:r>
    </w:p>
    <w:p>
      <w:pPr>
        <w:pStyle w:val="Heading3"/>
      </w:pPr>
      <w:r>
        <w:t xml:space="preserve">Solution</w:t>
      </w:r>
    </w:p>
    <w:p>
      <w:r>
        <w:t xml:space="preserve">By deploying AI-powered smart glasses from our partner XRAI Glass, personnel gained access to real-time captions, speaker identification, and live translation in over 300 languages directly within their field of view. The solution improved accessibility, enhanced multilingual communication, and enabled more effective participation in meetings, training, and operational discussions.</w:t>
      </w:r>
    </w:p>
    <w:p>
      <w:pPr>
        <w:pStyle w:val="Heading3"/>
      </w:pPr>
      <w:r>
        <w:t xml:space="preserve">Impact</w:t>
      </w:r>
    </w:p>
    <w:p>
      <w:pPr>
        <w:pStyle w:val="ListParagraph"/>
        <w:numPr>
          <w:ilvl w:val="0"/>
          <w:numId w:val="2"/>
        </w:numPr>
      </w:pPr>
      <w:r>
        <w:t xml:space="preserve">3 times faster information</w:t>
      </w:r>
    </w:p>
    <w:p>
      <w:pPr>
        <w:pStyle w:val="ListParagraph"/>
        <w:numPr>
          <w:ilvl w:val="0"/>
          <w:numId w:val="2"/>
        </w:numPr>
      </w:pPr>
      <w:r>
        <w:t xml:space="preserve">90% accessibility and inclusion</w:t>
      </w:r>
    </w:p>
    <w:p>
      <w:pPr>
        <w:pStyle w:val="ListParagraph"/>
        <w:numPr>
          <w:ilvl w:val="0"/>
          <w:numId w:val="2"/>
        </w:numPr>
      </w:pPr>
      <w:r>
        <w:t xml:space="preserve">60% reduction in interpreter dependency</w:t>
      </w:r>
    </w:p>
    <w:p>
      <w:pPr>
        <w:pStyle w:val="Heading2"/>
      </w:pPr>
      <w:r>
        <w:t xml:space="preserve">Case Study, Hearing Loop Accessibility Deployment: Dubai International Airport</w:t>
      </w:r>
    </w:p>
    <w:p>
      <w:pPr>
        <w:pStyle w:val="Heading3"/>
      </w:pPr>
      <w:r>
        <w:t xml:space="preserve">Problem</w:t>
      </w:r>
    </w:p>
    <w:p>
      <w:r>
        <w:t xml:space="preserve">At Dubai International Airport, 92.3 million annual passengers, including those with hearing loss, had no accessible communication at 500+ touch points (check-in counters, boarding gates, retail, F&amp;B) across 3 terminals and 3 concourses.</w:t>
      </w:r>
    </w:p>
    <w:p>
      <w:pPr>
        <w:pStyle w:val="Heading3"/>
      </w:pPr>
      <w:r>
        <w:t xml:space="preserve">Solution</w:t>
      </w:r>
    </w:p>
    <w:p>
      <w:r>
        <w:t xml:space="preserve">Our partners Topland and Contacta installed 520 under-the-counter IL-K200 hearing loop systems across all terminals (A, B and C concourses). A staff training and awareness programme was delivered prior to installation. Portable loops were supplied for locations where fixed loops were not possible.</w:t>
      </w:r>
    </w:p>
    <w:p>
      <w:pPr>
        <w:pStyle w:val="Heading3"/>
      </w:pPr>
      <w:r>
        <w:t xml:space="preserve">Impact</w:t>
      </w:r>
    </w:p>
    <w:p>
      <w:pPr>
        <w:pStyle w:val="ListParagraph"/>
        <w:numPr>
          <w:ilvl w:val="0"/>
          <w:numId w:val="2"/>
        </w:numPr>
      </w:pPr>
      <w:r>
        <w:t xml:space="preserve">Approximately 30% fewer staff</w:t>
      </w:r>
    </w:p>
    <w:p>
      <w:pPr>
        <w:pStyle w:val="ListParagraph"/>
        <w:numPr>
          <w:ilvl w:val="0"/>
          <w:numId w:val="2"/>
        </w:numPr>
      </w:pPr>
      <w:r>
        <w:t xml:space="preserve">20% increase in communication speed</w:t>
      </w:r>
    </w:p>
    <w:p>
      <w:pPr>
        <w:pStyle w:val="ListParagraph"/>
        <w:numPr>
          <w:ilvl w:val="0"/>
          <w:numId w:val="2"/>
        </w:numPr>
      </w:pPr>
      <w:r>
        <w:t xml:space="preserve">30% increase in issue resolution</w:t>
      </w:r>
    </w:p>
    <w:p>
      <w:pPr>
        <w:pStyle w:val="Heading2"/>
      </w:pPr>
      <w:r>
        <w:t xml:space="preserve">Case Study, Hearing Loop Deployment: UN Climate Conference, Expo City Dubai</w:t>
      </w:r>
    </w:p>
    <w:p>
      <w:pPr>
        <w:pStyle w:val="Heading3"/>
      </w:pPr>
      <w:r>
        <w:t xml:space="preserve">Problem</w:t>
      </w:r>
    </w:p>
    <w:p>
      <w:r>
        <w:t xml:space="preserve">World leaders and 70,000+ delegates attending the UN Climate Conference needed accessible listening in 43 venues across the Blue Zone and Green Zone at Expo City Dubai. Signal spillover between rooms was a confidentiality risk.</w:t>
      </w:r>
    </w:p>
    <w:p>
      <w:pPr>
        <w:pStyle w:val="Heading3"/>
      </w:pPr>
      <w:r>
        <w:t xml:space="preserve">Solution</w:t>
      </w:r>
    </w:p>
    <w:p>
      <w:r>
        <w:t xml:space="preserve">Our partner Topland designed and installed Contacta large-area hearing loop systems with bespoke phased array configurations, cancellation loops, and 3D visualisation signal control. More than 9,500 metres of copper cable were laid. Installation was completed despite flooding from heavy rains days before opening.</w:t>
      </w:r>
    </w:p>
    <w:p>
      <w:pPr>
        <w:pStyle w:val="Heading3"/>
      </w:pPr>
      <w:r>
        <w:t xml:space="preserve">Impact</w:t>
      </w:r>
    </w:p>
    <w:p>
      <w:pPr>
        <w:pStyle w:val="ListParagraph"/>
        <w:numPr>
          <w:ilvl w:val="0"/>
          <w:numId w:val="2"/>
        </w:numPr>
      </w:pPr>
      <w:r>
        <w:t xml:space="preserve">70% speech understanding</w:t>
      </w:r>
    </w:p>
    <w:p>
      <w:pPr>
        <w:pStyle w:val="ListParagraph"/>
        <w:numPr>
          <w:ilvl w:val="0"/>
          <w:numId w:val="2"/>
        </w:numPr>
      </w:pPr>
      <w:r>
        <w:t xml:space="preserve">40% reduction in manual assistance</w:t>
      </w:r>
    </w:p>
    <w:p>
      <w:pPr>
        <w:pStyle w:val="ListParagraph"/>
        <w:numPr>
          <w:ilvl w:val="0"/>
          <w:numId w:val="2"/>
        </w:numPr>
      </w:pPr>
      <w:r>
        <w:t xml:space="preserve">Approximately 100% accessibility</w:t>
      </w:r>
    </w:p>
    <w:p>
      <w:r>
        <w:br w:type="page"/>
      </w:r>
    </w:p>
    <w:p>
      <w:pPr>
        <w:pStyle w:val="Heading1"/>
      </w:pPr>
      <w:r>
        <w:t xml:space="preserve">Why Immersive?</w:t>
      </w:r>
    </w:p>
    <w:p>
      <w:pPr>
        <w:pStyle w:val="Heading2"/>
      </w:pPr>
      <w:r>
        <w:t xml:space="preserve">The Case Against Traditional Ways of Doing Things</w:t>
      </w:r>
    </w:p>
    <w:p>
      <w:r>
        <w:t xml:space="preserve">Immersive learning transforms training from passive observation into active experience, allowing learners to practice in real-world-like environments. It significantly improves engagement, focus, and emotional connection, which are key drivers of retention. As a result, learners don’t just understand concepts — they are able to apply them confidently in real situations.</w:t>
      </w:r>
    </w:p>
    <w:p>
      <w:pPr>
        <w:pStyle w:val="ListParagraph"/>
        <w:numPr>
          <w:ilvl w:val="0"/>
          <w:numId w:val="2"/>
        </w:numPr>
      </w:pPr>
      <w:r>
        <w:t xml:space="preserve">75% knowledge retention through immersive experiences</w:t>
      </w:r>
    </w:p>
    <w:p>
      <w:pPr>
        <w:pStyle w:val="ListParagraph"/>
        <w:numPr>
          <w:ilvl w:val="0"/>
          <w:numId w:val="2"/>
        </w:numPr>
      </w:pPr>
      <w:r>
        <w:t xml:space="preserve">4 times better focus and engagement compared to traditional methods</w:t>
      </w:r>
    </w:p>
    <w:p>
      <w:pPr>
        <w:pStyle w:val="ListParagraph"/>
        <w:numPr>
          <w:ilvl w:val="0"/>
          <w:numId w:val="2"/>
        </w:numPr>
      </w:pPr>
      <w:r>
        <w:t xml:space="preserve">Safe simulation of high-risk scenarios across all disciplines</w:t>
      </w:r>
    </w:p>
    <w:p>
      <w:pPr>
        <w:pStyle w:val="ListParagraph"/>
        <w:numPr>
          <w:ilvl w:val="0"/>
          <w:numId w:val="2"/>
        </w:numPr>
      </w:pPr>
      <w:r>
        <w:t xml:space="preserve">Personalized learning pathways tailored to each individual</w:t>
      </w:r>
    </w:p>
    <w:p>
      <w:pPr>
        <w:pStyle w:val="ListParagraph"/>
        <w:numPr>
          <w:ilvl w:val="0"/>
          <w:numId w:val="2"/>
        </w:numPr>
      </w:pPr>
      <w:r>
        <w:t xml:space="preserve">Scalable training solutions deployable across institutions</w:t>
      </w:r>
    </w:p>
    <w:p>
      <w:r>
        <w:t xml:space="preserve">Immersive learning builds, step by step: speed, then focus, then knowledge retention, and finally confidence.</w:t>
      </w:r>
    </w:p>
    <w:p>
      <w:pPr>
        <w:pStyle w:val="Heading1"/>
      </w:pPr>
      <w:r>
        <w:t xml:space="preserve">The Financial Case</w:t>
      </w:r>
    </w:p>
    <w:p>
      <w:r>
        <w:t xml:space="preserve">Traditional training models carry high recurring costs across staffing, logistics, facilities, and operational downtime. These costs scale with every session and are further compounded by inefficiencies such as repetition, equipment usage, and delayed competency. The ABS platform shifts this model toward a scalable, digital-first approach that reduces cost per session while improving training efficiency and outcomes.</w:t>
      </w:r>
    </w:p>
    <w:p>
      <w:pPr>
        <w:pStyle w:val="Heading2"/>
      </w:pPr>
      <w:r>
        <w:t xml:space="preserve">Traditional Training Costs</w:t>
      </w:r>
    </w:p>
    <w:p>
      <w:pPr>
        <w:pStyle w:val="ListParagraph"/>
        <w:numPr>
          <w:ilvl w:val="0"/>
          <w:numId w:val="2"/>
        </w:numPr>
      </w:pPr>
      <w:r>
        <w:t xml:space="preserve">Trainer and facilitator time per session</w:t>
      </w:r>
    </w:p>
    <w:p>
      <w:pPr>
        <w:pStyle w:val="ListParagraph"/>
        <w:numPr>
          <w:ilvl w:val="0"/>
          <w:numId w:val="2"/>
        </w:numPr>
      </w:pPr>
      <w:r>
        <w:t xml:space="preserve">Physical materials, props, and consumables</w:t>
      </w:r>
    </w:p>
    <w:p>
      <w:pPr>
        <w:pStyle w:val="ListParagraph"/>
        <w:numPr>
          <w:ilvl w:val="0"/>
          <w:numId w:val="2"/>
        </w:numPr>
      </w:pPr>
      <w:r>
        <w:t xml:space="preserve">Venue hire and logistics coordination</w:t>
      </w:r>
    </w:p>
    <w:p>
      <w:pPr>
        <w:pStyle w:val="ListParagraph"/>
        <w:numPr>
          <w:ilvl w:val="0"/>
          <w:numId w:val="2"/>
        </w:numPr>
      </w:pPr>
      <w:r>
        <w:t xml:space="preserve">Equipment damage or wear during practical training</w:t>
      </w:r>
    </w:p>
    <w:p>
      <w:pPr>
        <w:pStyle w:val="ListParagraph"/>
        <w:numPr>
          <w:ilvl w:val="0"/>
          <w:numId w:val="2"/>
        </w:numPr>
      </w:pPr>
      <w:r>
        <w:t xml:space="preserve">Lost productive time when workers are off-site</w:t>
      </w:r>
    </w:p>
    <w:p>
      <w:pPr>
        <w:pStyle w:val="ListParagraph"/>
        <w:numPr>
          <w:ilvl w:val="0"/>
          <w:numId w:val="2"/>
        </w:numPr>
      </w:pPr>
      <w:r>
        <w:t xml:space="preserve">Incident costs when undertrained staff make errors</w:t>
      </w:r>
    </w:p>
    <w:p>
      <w:pPr>
        <w:pStyle w:val="ListParagraph"/>
        <w:numPr>
          <w:ilvl w:val="0"/>
          <w:numId w:val="2"/>
        </w:numPr>
      </w:pPr>
      <w:r>
        <w:t xml:space="preserve">Repeat sessions when content does not stick</w:t>
      </w:r>
    </w:p>
    <w:p>
      <w:pPr>
        <w:pStyle w:val="Heading2"/>
      </w:pPr>
      <w:r>
        <w:t xml:space="preserve">ABS Cost Reduction Strategy</w:t>
      </w:r>
    </w:p>
    <w:p>
      <w:pPr>
        <w:pStyle w:val="ListParagraph"/>
        <w:numPr>
          <w:ilvl w:val="0"/>
          <w:numId w:val="2"/>
        </w:numPr>
      </w:pPr>
      <w:r>
        <w:t xml:space="preserve">One platform, unlimited sessions, marginal cost per use</w:t>
      </w:r>
    </w:p>
    <w:p>
      <w:pPr>
        <w:pStyle w:val="ListParagraph"/>
        <w:numPr>
          <w:ilvl w:val="0"/>
          <w:numId w:val="2"/>
        </w:numPr>
      </w:pPr>
      <w:r>
        <w:t xml:space="preserve">No physical materials — content is digital and reusable</w:t>
      </w:r>
    </w:p>
    <w:p>
      <w:pPr>
        <w:pStyle w:val="ListParagraph"/>
        <w:numPr>
          <w:ilvl w:val="0"/>
          <w:numId w:val="2"/>
        </w:numPr>
      </w:pPr>
      <w:r>
        <w:t xml:space="preserve">Training happens on-site, in-facility, or remotely</w:t>
      </w:r>
    </w:p>
    <w:p>
      <w:pPr>
        <w:pStyle w:val="ListParagraph"/>
        <w:numPr>
          <w:ilvl w:val="0"/>
          <w:numId w:val="2"/>
        </w:numPr>
      </w:pPr>
      <w:r>
        <w:t xml:space="preserve">Zero equipment damage during simulation training</w:t>
      </w:r>
    </w:p>
    <w:p>
      <w:pPr>
        <w:pStyle w:val="ListParagraph"/>
        <w:numPr>
          <w:ilvl w:val="0"/>
          <w:numId w:val="2"/>
        </w:numPr>
      </w:pPr>
      <w:r>
        <w:t xml:space="preserve">Faster time-to-competency reduces productive time lost</w:t>
      </w:r>
    </w:p>
    <w:p>
      <w:pPr>
        <w:pStyle w:val="ListParagraph"/>
        <w:numPr>
          <w:ilvl w:val="0"/>
          <w:numId w:val="2"/>
        </w:numPr>
      </w:pPr>
      <w:r>
        <w:t xml:space="preserve">Measurably lower incident rates reduce liability costs</w:t>
      </w:r>
    </w:p>
    <w:p>
      <w:r>
        <w:rPr>
          <w:b/>
          <w:bCs/>
        </w:rPr>
        <w:t xml:space="preserve">Approximately 70% cost reduction and savings. Typical return on investment within 12 to 18 months.</w:t>
      </w:r>
    </w:p>
    <w:p>
      <w:pPr>
        <w:pStyle w:val="Heading1"/>
      </w:pPr>
      <w:r>
        <w:t xml:space="preserve">Let Us Build the Future Together</w:t>
      </w:r>
    </w:p>
    <w:p>
      <w:r>
        <w:t xml:space="preserve">Every ministry, school, university, training institution, and enterprise in Qatar has a unique set of goals, constraints, and learners. ABS does not offer a generic catalog — we offer a conversation. From that conversation, we build a solution that fits your reality, your budget, and your vision.</w:t>
      </w:r>
    </w:p>
    <w:p>
      <w:r>
        <w:t xml:space="preserve">Our engagement is low-risk and high-return. We begin with a no-obligation consultation and technology demonstration — so you can see, first-hand, what immersive transformation looks and feels like before investing.</w:t>
      </w:r>
    </w:p>
    <w:p>
      <w:pPr>
        <w:pStyle w:val="ListParagraph"/>
        <w:numPr>
          <w:ilvl w:val="0"/>
          <w:numId w:val="2"/>
        </w:numPr>
      </w:pPr>
      <w:r>
        <w:rPr>
          <w:b/>
          <w:bCs/>
        </w:rPr>
        <w:t xml:space="preserve">Step 1, Book a Consultation: </w:t>
      </w:r>
      <w:r>
        <w:t xml:space="preserve">let us discuss your institution's specific goals, challenges, and opportunities.</w:t>
      </w:r>
    </w:p>
    <w:p>
      <w:pPr>
        <w:pStyle w:val="ListParagraph"/>
        <w:numPr>
          <w:ilvl w:val="0"/>
          <w:numId w:val="2"/>
        </w:numPr>
      </w:pPr>
      <w:r>
        <w:rPr>
          <w:b/>
          <w:bCs/>
        </w:rPr>
        <w:t xml:space="preserve">Step 2, Demo: </w:t>
      </w:r>
      <w:r>
        <w:t xml:space="preserve">let us demonstrate how the solution can be tailored to meet your needs.</w:t>
      </w:r>
    </w:p>
    <w:p>
      <w:pPr>
        <w:pStyle w:val="ListParagraph"/>
        <w:numPr>
          <w:ilvl w:val="0"/>
          <w:numId w:val="2"/>
        </w:numPr>
      </w:pPr>
      <w:r>
        <w:rPr>
          <w:b/>
          <w:bCs/>
        </w:rPr>
        <w:t xml:space="preserve">Step 3, Build Your Solution: </w:t>
      </w:r>
      <w:r>
        <w:t xml:space="preserve">receive a tailored proposal — from pilot to full deployment — that fits your budget and vision.</w:t>
      </w:r>
    </w:p>
    <w:p>
      <w:pPr>
        <w:pStyle w:val="Heading1"/>
      </w:pPr>
      <w:r>
        <w:t xml:space="preserve">Our Partners and Clients</w:t>
      </w:r>
    </w:p>
    <w:p>
      <w:pPr>
        <w:pStyle w:val="Heading2"/>
      </w:pPr>
      <w:r>
        <w:t xml:space="preserve">Our Partners</w:t>
      </w:r>
    </w:p>
    <w:p>
      <w:r>
        <w:t xml:space="preserve">ClassVR, New World Technologies, EON-XR, STEMpedia, XRAI Glass, LuminousXR, Merge EDU, Floreo, Next World, AVRT, Axiom Holographics, OM Interactive (OMI), Juego Studios, Topland.</w:t>
      </w:r>
    </w:p>
    <w:p>
      <w:pPr>
        <w:pStyle w:val="Heading2"/>
      </w:pPr>
      <w:r>
        <w:t xml:space="preserve">Our Clients</w:t>
      </w:r>
    </w:p>
    <w:p>
      <w:r>
        <w:t xml:space="preserve">Carnegie Mellon University, Lusail International Circuit, Mada Assistive Technology Center, The English Modern School, Sports Corner, Qatar Charity.</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updateFields/>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6"/>
        <w:szCs w:val="26"/>
      </w:rPr>
    </w:rPrDefault>
    <w:pPrDefault>
      <w:pPr>
        <w:spacing w:after="160" w:line="31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Title">
    <w:name w:val="Title"/>
    <w:basedOn w:val="Normal"/>
    <w:next w:val="Normal"/>
    <w:pPr>
      <w:spacing w:after="120"/>
    </w:pPr>
    <w:rPr>
      <w:rFonts w:ascii="Arial" w:cs="Arial" w:eastAsia="Arial" w:hAnsi="Arial"/>
      <w:b/>
      <w:bCs/>
      <w:color w:val="2B0A3D"/>
      <w:sz w:val="52"/>
      <w:szCs w:val="52"/>
    </w:rPr>
  </w:style>
  <w:style w:type="paragraph" w:styleId="Subtitle">
    <w:name w:val="Subtitle"/>
    <w:basedOn w:val="Normal"/>
    <w:next w:val="Normal"/>
    <w:pPr>
      <w:spacing w:after="240"/>
    </w:pPr>
    <w:rPr>
      <w:rFonts w:ascii="Arial" w:cs="Arial" w:eastAsia="Arial" w:hAnsi="Arial"/>
      <w:color w:val="5A2D82"/>
      <w:sz w:val="30"/>
      <w:szCs w:val="30"/>
    </w:rPr>
  </w:style>
  <w:style w:type="paragraph" w:styleId="Heading1">
    <w:name w:val="Heading 1"/>
    <w:basedOn w:val="Normal"/>
    <w:next w:val="Normal"/>
    <w:qFormat/>
    <w:pPr>
      <w:spacing w:after="200" w:before="360"/>
      <w:outlineLvl w:val="0"/>
    </w:pPr>
    <w:rPr>
      <w:rFonts w:ascii="Arial" w:cs="Arial" w:eastAsia="Arial" w:hAnsi="Arial"/>
      <w:b/>
      <w:bCs/>
      <w:color w:val="2B0A3D"/>
      <w:sz w:val="40"/>
      <w:szCs w:val="40"/>
    </w:rPr>
  </w:style>
  <w:style w:type="paragraph" w:styleId="Heading2">
    <w:name w:val="Heading 2"/>
    <w:basedOn w:val="Normal"/>
    <w:next w:val="Normal"/>
    <w:qFormat/>
    <w:pPr>
      <w:spacing w:after="140" w:before="280"/>
      <w:outlineLvl w:val="1"/>
    </w:pPr>
    <w:rPr>
      <w:rFonts w:ascii="Arial" w:cs="Arial" w:eastAsia="Arial" w:hAnsi="Arial"/>
      <w:b/>
      <w:bCs/>
      <w:color w:val="6A1B9A"/>
      <w:sz w:val="32"/>
      <w:szCs w:val="32"/>
    </w:rPr>
  </w:style>
  <w:style w:type="paragraph" w:styleId="Heading3">
    <w:name w:val="Heading 3"/>
    <w:basedOn w:val="Normal"/>
    <w:next w:val="Normal"/>
    <w:qFormat/>
    <w:pPr>
      <w:spacing w:after="100" w:before="200"/>
      <w:outlineLvl w:val="2"/>
    </w:pPr>
    <w:rPr>
      <w:rFonts w:ascii="Arial" w:cs="Arial" w:eastAsia="Arial" w:hAnsi="Arial"/>
      <w:b/>
      <w:bCs/>
      <w:color w:val="333333"/>
      <w:sz w:val="28"/>
      <w:szCs w:val="28"/>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l6tl2ucgsp_nvwfg2rvmf" Type="http://schemas.openxmlformats.org/officeDocument/2006/relationships/hyperlink" Target="mailto:info@artistic.qa" TargetMode="External"/><Relationship Id="rIdpius_bigkzx817-cdmmed" Type="http://schemas.openxmlformats.org/officeDocument/2006/relationships/hyperlink" Target="https://www.artistic.qa" TargetMode="Externa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Artistic Business Solutions – Company Profile</dc:title>
  <dc:creator>Artistic Business Solutions</dc:creator>
  <dc:description>Screen reader friendly version</dc:description>
  <cp:lastModifiedBy>Un-named</cp:lastModifiedBy>
  <cp:revision>1</cp:revision>
  <dcterms:created xsi:type="dcterms:W3CDTF">2026-10-11T08:02:28.383Z</dcterms:created>
  <dcterms:modified xsi:type="dcterms:W3CDTF">2026-10-11T08:02:28.391Z</dcterms:modified>
</cp:coreProperties>
</file>

<file path=docProps/custom.xml><?xml version="1.0" encoding="utf-8"?>
<Properties xmlns="http://schemas.openxmlformats.org/officeDocument/2006/custom-properties" xmlns:vt="http://schemas.openxmlformats.org/officeDocument/2006/docPropsVTypes"/>
</file>